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E8FB" w14:textId="1034C1E9" w:rsidR="00E25DC6" w:rsidRDefault="00ED231B" w:rsidP="007516D2">
      <w:pPr>
        <w:spacing w:after="0"/>
        <w:jc w:val="center"/>
        <w:rPr>
          <w:b/>
          <w:bCs/>
          <w:sz w:val="28"/>
          <w:szCs w:val="28"/>
        </w:rPr>
      </w:pPr>
      <w:r>
        <w:rPr>
          <w:b/>
          <w:bCs/>
          <w:sz w:val="28"/>
          <w:szCs w:val="28"/>
        </w:rPr>
        <w:t>Chief Executive Officer</w:t>
      </w:r>
      <w:r w:rsidR="00E25DC6" w:rsidRPr="007516D2">
        <w:rPr>
          <w:b/>
          <w:bCs/>
          <w:sz w:val="28"/>
          <w:szCs w:val="28"/>
        </w:rPr>
        <w:t xml:space="preserve"> Report </w:t>
      </w:r>
    </w:p>
    <w:p w14:paraId="2F02CA56" w14:textId="77777777" w:rsidR="00EF44E3" w:rsidRDefault="00EF44E3" w:rsidP="007516D2">
      <w:pPr>
        <w:spacing w:after="0"/>
        <w:jc w:val="center"/>
        <w:rPr>
          <w:b/>
          <w:bCs/>
          <w:sz w:val="28"/>
          <w:szCs w:val="28"/>
        </w:rPr>
      </w:pPr>
    </w:p>
    <w:p w14:paraId="35B87352" w14:textId="12C33549" w:rsidR="007516D2" w:rsidRDefault="000031FA" w:rsidP="007516D2">
      <w:pPr>
        <w:spacing w:after="0"/>
      </w:pPr>
      <w:r>
        <w:tab/>
        <w:t xml:space="preserve">TO: </w:t>
      </w:r>
      <w:r w:rsidR="002D6670">
        <w:tab/>
      </w:r>
      <w:r w:rsidR="002D6670">
        <w:tab/>
      </w:r>
      <w:r w:rsidR="00B9623F">
        <w:t>U.T. System Board of Regents</w:t>
      </w:r>
    </w:p>
    <w:p w14:paraId="4D050889" w14:textId="2D3994F9" w:rsidR="00B9623F" w:rsidRDefault="002D6670" w:rsidP="007516D2">
      <w:pPr>
        <w:spacing w:after="0"/>
      </w:pPr>
      <w:r>
        <w:tab/>
        <w:t xml:space="preserve">FROM: </w:t>
      </w:r>
      <w:r>
        <w:tab/>
      </w:r>
      <w:r>
        <w:tab/>
      </w:r>
      <w:r w:rsidR="00590FDE">
        <w:rPr>
          <w:b/>
          <w:bCs/>
        </w:rPr>
        <w:t>Sandra K. Woodley,</w:t>
      </w:r>
      <w:r w:rsidR="003403A1">
        <w:t xml:space="preserve"> Chief Executive Officer</w:t>
      </w:r>
    </w:p>
    <w:p w14:paraId="212B9DB0" w14:textId="5D491F53" w:rsidR="00C16B46" w:rsidRPr="00296833" w:rsidRDefault="000E4FAE" w:rsidP="007516D2">
      <w:pPr>
        <w:spacing w:after="0"/>
        <w:rPr>
          <w:b/>
          <w:bCs/>
        </w:rPr>
      </w:pPr>
      <w:r>
        <w:tab/>
      </w:r>
      <w:r w:rsidR="00C16B46">
        <w:t xml:space="preserve">DATE: </w:t>
      </w:r>
      <w:r w:rsidR="00C16B46">
        <w:tab/>
      </w:r>
      <w:r w:rsidR="00C16B46">
        <w:tab/>
      </w:r>
      <w:r w:rsidR="00590FDE">
        <w:rPr>
          <w:b/>
          <w:bCs/>
        </w:rPr>
        <w:t>October 6, 2023</w:t>
      </w:r>
    </w:p>
    <w:p w14:paraId="23E5475B" w14:textId="6286E4E3" w:rsidR="008904FF" w:rsidRDefault="008904FF" w:rsidP="007516D2">
      <w:pPr>
        <w:spacing w:after="0"/>
        <w:rPr>
          <w:rFonts w:cstheme="minorHAnsi"/>
        </w:rPr>
      </w:pPr>
      <w:r>
        <w:tab/>
        <w:t xml:space="preserve">RE: </w:t>
      </w:r>
      <w:r>
        <w:tab/>
      </w:r>
      <w:r>
        <w:tab/>
      </w:r>
      <w:r w:rsidR="002F1857">
        <w:t>Chief Executive Officer</w:t>
      </w:r>
      <w:r w:rsidR="006C2B93">
        <w:t xml:space="preserve"> Reporting Requirements </w:t>
      </w:r>
      <w:r w:rsidR="00C055D2">
        <w:t xml:space="preserve">Under </w:t>
      </w:r>
      <w:r w:rsidR="00123601" w:rsidRPr="006C2B93">
        <w:t xml:space="preserve">Tex. Educ. Code </w:t>
      </w:r>
      <w:r w:rsidR="00337F48" w:rsidRPr="006C2B93">
        <w:rPr>
          <w:rFonts w:cstheme="minorHAnsi"/>
        </w:rPr>
        <w:t xml:space="preserve">§ </w:t>
      </w:r>
      <w:r w:rsidR="006C2B93" w:rsidRPr="006C2B93">
        <w:rPr>
          <w:rFonts w:cstheme="minorHAnsi"/>
        </w:rPr>
        <w:t>51.253</w:t>
      </w:r>
      <w:r w:rsidR="00465928">
        <w:rPr>
          <w:rFonts w:cstheme="minorHAnsi"/>
        </w:rPr>
        <w:t>(</w:t>
      </w:r>
      <w:r w:rsidR="002F1857">
        <w:rPr>
          <w:rFonts w:cstheme="minorHAnsi"/>
        </w:rPr>
        <w:t>c</w:t>
      </w:r>
      <w:r w:rsidR="00465928">
        <w:rPr>
          <w:rFonts w:cstheme="minorHAnsi"/>
        </w:rPr>
        <w:t>)</w:t>
      </w:r>
    </w:p>
    <w:p w14:paraId="29B7197A" w14:textId="7059385B" w:rsidR="00465928" w:rsidRDefault="00465928" w:rsidP="00465928">
      <w:pPr>
        <w:pBdr>
          <w:bottom w:val="single" w:sz="4" w:space="1" w:color="auto"/>
        </w:pBdr>
        <w:spacing w:after="0"/>
        <w:rPr>
          <w:rFonts w:cstheme="minorHAnsi"/>
        </w:rPr>
      </w:pPr>
    </w:p>
    <w:p w14:paraId="29D3EF80" w14:textId="77777777" w:rsidR="00465928" w:rsidRPr="006C2B93" w:rsidRDefault="00465928" w:rsidP="007516D2">
      <w:pPr>
        <w:spacing w:after="0"/>
      </w:pPr>
    </w:p>
    <w:p w14:paraId="34512BE6" w14:textId="2AF67491" w:rsidR="006F63D4" w:rsidRDefault="002F461F" w:rsidP="002F461F">
      <w:pPr>
        <w:spacing w:after="0"/>
      </w:pPr>
      <w:r>
        <w:t>Texas Education Code (TEC), Section 51.253(c)</w:t>
      </w:r>
      <w:r w:rsidR="004E000A">
        <w:t xml:space="preserve"> </w:t>
      </w:r>
      <w:r w:rsidR="00D975E9">
        <w:t xml:space="preserve">and Texas Administrative Code, Title 19, Sections 3.6(c) </w:t>
      </w:r>
      <w:r w:rsidR="00C1435F">
        <w:t>a</w:t>
      </w:r>
      <w:r w:rsidR="007913C1">
        <w:t>nd</w:t>
      </w:r>
      <w:r w:rsidR="00017673">
        <w:t xml:space="preserve"> 3.19(a) </w:t>
      </w:r>
      <w:r w:rsidR="004E000A">
        <w:t>require</w:t>
      </w:r>
      <w:r>
        <w:t xml:space="preserve"> institution</w:t>
      </w:r>
      <w:r w:rsidR="001B150C">
        <w:t xml:space="preserve">s </w:t>
      </w:r>
      <w:r w:rsidR="003C0F6B">
        <w:t xml:space="preserve">of higher education </w:t>
      </w:r>
      <w:r>
        <w:t xml:space="preserve">to submit a </w:t>
      </w:r>
      <w:r w:rsidR="00FA0D6F">
        <w:t xml:space="preserve">Chief Executive Officer Report (“CEO Report”) </w:t>
      </w:r>
      <w:r>
        <w:t xml:space="preserve">to the institution’s governing body and post </w:t>
      </w:r>
      <w:r w:rsidR="00CA6223">
        <w:t xml:space="preserve">the report </w:t>
      </w:r>
      <w:r>
        <w:t>on the institution’s internet website</w:t>
      </w:r>
      <w:r w:rsidR="0093252A">
        <w:t xml:space="preserve"> </w:t>
      </w:r>
      <w:r w:rsidR="001B610E">
        <w:t>“</w:t>
      </w:r>
      <w:r w:rsidR="0093252A">
        <w:t>at least once annually</w:t>
      </w:r>
      <w:r w:rsidR="009C2AC4">
        <w:t>,</w:t>
      </w:r>
      <w:r w:rsidR="001B610E">
        <w:t>”</w:t>
      </w:r>
      <w:r w:rsidR="009C2AC4">
        <w:t xml:space="preserve"> by October of each year.  </w:t>
      </w:r>
    </w:p>
    <w:p w14:paraId="17619DA4" w14:textId="77777777" w:rsidR="006F63D4" w:rsidRDefault="006F63D4" w:rsidP="002F461F">
      <w:pPr>
        <w:spacing w:after="0"/>
      </w:pPr>
    </w:p>
    <w:p w14:paraId="408F7C8B" w14:textId="1B447762" w:rsidR="002F461F" w:rsidRDefault="005A62FC" w:rsidP="002F461F">
      <w:pPr>
        <w:spacing w:after="0"/>
      </w:pPr>
      <w:r>
        <w:t xml:space="preserve">The </w:t>
      </w:r>
      <w:r w:rsidR="00493CB1">
        <w:t>CEO R</w:t>
      </w:r>
      <w:r>
        <w:t xml:space="preserve">eport </w:t>
      </w:r>
      <w:r w:rsidR="00847580">
        <w:t xml:space="preserve">must contain </w:t>
      </w:r>
      <w:r w:rsidR="00A04DDD">
        <w:t xml:space="preserve">(1) </w:t>
      </w:r>
      <w:r w:rsidR="00847580">
        <w:t xml:space="preserve">all </w:t>
      </w:r>
      <w:r w:rsidR="002F461F">
        <w:t xml:space="preserve">reports received by employees under the TEC, Section 51.252 </w:t>
      </w:r>
      <w:r w:rsidR="009350FF">
        <w:t>that</w:t>
      </w:r>
      <w:r w:rsidR="002F461F">
        <w:t xml:space="preserve"> constitutes “sexual harassment,” “sexual assault,” “dating violence,” or “stalking” </w:t>
      </w:r>
      <w:r w:rsidR="006F1B0A">
        <w:t>(</w:t>
      </w:r>
      <w:r w:rsidR="002F461F">
        <w:t>as defined in the TEC, Section 51.251</w:t>
      </w:r>
      <w:r w:rsidR="006F1B0A">
        <w:t>)</w:t>
      </w:r>
      <w:r w:rsidR="002F461F">
        <w:t xml:space="preserve">, and </w:t>
      </w:r>
      <w:r w:rsidR="006F1B0A">
        <w:t xml:space="preserve">(2) </w:t>
      </w:r>
      <w:r w:rsidR="002F461F">
        <w:t>any disciplinary actions taken under TEC, Section 51.255</w:t>
      </w:r>
      <w:r w:rsidR="00251B1C">
        <w:t xml:space="preserve"> regarding allegations of an employee’s failure to report or </w:t>
      </w:r>
      <w:r w:rsidR="00D232DE">
        <w:t>submitting</w:t>
      </w:r>
      <w:r w:rsidR="00251B1C">
        <w:t xml:space="preserve"> a false report to the institution for alleged incidents of sexual harassment, sexual assault, dating violence, or stalking.</w:t>
      </w:r>
      <w:r w:rsidR="00D61EB5">
        <w:t xml:space="preserve"> The reports received may be applicable in multiple reporting categories, and therefore, the </w:t>
      </w:r>
      <w:r w:rsidR="00031400">
        <w:t xml:space="preserve">CEO </w:t>
      </w:r>
      <w:r w:rsidR="00D61EB5">
        <w:t xml:space="preserve">summary data </w:t>
      </w:r>
      <w:r w:rsidR="004708F6">
        <w:t xml:space="preserve">reflected </w:t>
      </w:r>
      <w:r w:rsidR="00D61EB5">
        <w:t>in the categories may not add up to the totals of other categories.</w:t>
      </w:r>
    </w:p>
    <w:p w14:paraId="4B6037B4" w14:textId="70982F5E" w:rsidR="00FA31BC" w:rsidRDefault="00FA31BC" w:rsidP="00B85CA0">
      <w:pPr>
        <w:spacing w:after="0"/>
      </w:pPr>
    </w:p>
    <w:p w14:paraId="13E5666B" w14:textId="5943A57E" w:rsidR="002F461F" w:rsidRDefault="00493CB1" w:rsidP="002F461F">
      <w:pPr>
        <w:spacing w:after="0"/>
      </w:pPr>
      <w:r>
        <w:t xml:space="preserve">In compliance </w:t>
      </w:r>
      <w:r w:rsidR="002F461F">
        <w:t xml:space="preserve">with the Chief Executive Officer’s </w:t>
      </w:r>
      <w:r w:rsidR="004E000A">
        <w:t xml:space="preserve">TEC </w:t>
      </w:r>
      <w:r w:rsidR="002F461F">
        <w:t xml:space="preserve">reporting requirements, the </w:t>
      </w:r>
      <w:r w:rsidR="008B7A11">
        <w:t xml:space="preserve">enclosed CEO </w:t>
      </w:r>
      <w:r w:rsidR="00294ED6">
        <w:t>Report includes</w:t>
      </w:r>
      <w:r w:rsidR="002F461F">
        <w:t xml:space="preserve"> </w:t>
      </w:r>
      <w:proofErr w:type="gramStart"/>
      <w:r w:rsidR="002F461F">
        <w:t>all of</w:t>
      </w:r>
      <w:proofErr w:type="gramEnd"/>
      <w:r w:rsidR="002F461F">
        <w:t xml:space="preserve"> the required reporting to the U.T. System Board of Regents for the </w:t>
      </w:r>
      <w:r w:rsidR="000F7F95">
        <w:t>2022-2023</w:t>
      </w:r>
      <w:r w:rsidR="00112DCC">
        <w:t xml:space="preserve"> </w:t>
      </w:r>
      <w:r w:rsidR="002F461F">
        <w:t>academic year</w:t>
      </w:r>
      <w:r w:rsidR="0083151B" w:rsidRPr="0083151B">
        <w:t xml:space="preserve"> </w:t>
      </w:r>
      <w:r w:rsidR="008B7A11">
        <w:t xml:space="preserve">(Appendix A) and </w:t>
      </w:r>
      <w:r w:rsidR="000856D8">
        <w:t xml:space="preserve">status </w:t>
      </w:r>
      <w:r w:rsidR="008B7A11">
        <w:t xml:space="preserve">updates to the </w:t>
      </w:r>
      <w:r w:rsidR="00474A3A">
        <w:t>2021-2022</w:t>
      </w:r>
      <w:r w:rsidR="008B7A11">
        <w:t xml:space="preserve"> academic year (Appendix B) </w:t>
      </w:r>
      <w:r w:rsidR="0083151B">
        <w:t xml:space="preserve">as of </w:t>
      </w:r>
      <w:r w:rsidR="00590FDE">
        <w:rPr>
          <w:b/>
          <w:bCs/>
        </w:rPr>
        <w:t>September 15, 2023</w:t>
      </w:r>
      <w:r w:rsidR="0083151B">
        <w:t xml:space="preserve">. </w:t>
      </w:r>
      <w:r w:rsidR="002F461F">
        <w:t xml:space="preserve">The </w:t>
      </w:r>
      <w:r w:rsidR="00847E4D">
        <w:t xml:space="preserve">CEO Report </w:t>
      </w:r>
      <w:r w:rsidR="002F461F">
        <w:t>is based on the reporting requirements under TEC, Section 51.253(c)</w:t>
      </w:r>
      <w:r w:rsidR="00417841">
        <w:t xml:space="preserve"> along with supplemental </w:t>
      </w:r>
      <w:r w:rsidR="005F1869">
        <w:t xml:space="preserve">category </w:t>
      </w:r>
      <w:r w:rsidR="00417841">
        <w:t>breakdowns</w:t>
      </w:r>
      <w:r w:rsidR="005F1869">
        <w:t>, when applicable</w:t>
      </w:r>
      <w:r w:rsidR="002F461F">
        <w:t xml:space="preserve">. </w:t>
      </w:r>
    </w:p>
    <w:p w14:paraId="6296C447" w14:textId="77777777" w:rsidR="002F461F" w:rsidRDefault="002F461F" w:rsidP="002F461F">
      <w:pPr>
        <w:spacing w:after="0"/>
      </w:pPr>
    </w:p>
    <w:p w14:paraId="4CF4B47B" w14:textId="1467B5BB" w:rsidR="002F461F" w:rsidRDefault="002F461F" w:rsidP="002F461F">
      <w:pPr>
        <w:spacing w:after="0"/>
      </w:pPr>
      <w:r>
        <w:t xml:space="preserve">The </w:t>
      </w:r>
      <w:r w:rsidR="00493CB1">
        <w:t>CEO Report</w:t>
      </w:r>
      <w:r>
        <w:t xml:space="preserve"> </w:t>
      </w:r>
      <w:r w:rsidR="004B068F">
        <w:t>will be</w:t>
      </w:r>
      <w:r>
        <w:t xml:space="preserve"> posted on the </w:t>
      </w:r>
      <w:hyperlink r:id="rId11" w:history="1">
        <w:r w:rsidR="00590FDE" w:rsidRPr="00B239BE">
          <w:rPr>
            <w:rStyle w:val="Hyperlink"/>
            <w:b/>
            <w:bCs/>
          </w:rPr>
          <w:t>University of Texas Permian Basin Title IX Website</w:t>
        </w:r>
      </w:hyperlink>
      <w:r w:rsidR="00590FDE" w:rsidRPr="00CD790D" w:rsidDel="00590FDE">
        <w:rPr>
          <w:b/>
          <w:bCs/>
        </w:rPr>
        <w:t xml:space="preserve"> </w:t>
      </w:r>
      <w:r w:rsidR="00590FDE">
        <w:rPr>
          <w:b/>
          <w:bCs/>
        </w:rPr>
        <w:t xml:space="preserve">, </w:t>
      </w:r>
      <w:r>
        <w:t>as require</w:t>
      </w:r>
      <w:r w:rsidR="004E000A">
        <w:t>d</w:t>
      </w:r>
      <w:r>
        <w:t xml:space="preserve"> </w:t>
      </w:r>
      <w:r w:rsidR="004E000A">
        <w:t>by</w:t>
      </w:r>
      <w:r>
        <w:t xml:space="preserve"> TEC, Section 51.253(c)</w:t>
      </w:r>
      <w:r w:rsidR="002552FE">
        <w:t xml:space="preserve">, and </w:t>
      </w:r>
      <w:r w:rsidR="001B3E11">
        <w:t xml:space="preserve">a copy of this CEO Report </w:t>
      </w:r>
      <w:r w:rsidR="008E15FE">
        <w:t xml:space="preserve">(along </w:t>
      </w:r>
      <w:r w:rsidR="00E35BE9">
        <w:t xml:space="preserve">with an annual certification of compliance) </w:t>
      </w:r>
      <w:r w:rsidR="001B3E11">
        <w:t xml:space="preserve">will </w:t>
      </w:r>
      <w:r w:rsidR="00DE5F8B">
        <w:t xml:space="preserve">be </w:t>
      </w:r>
      <w:r w:rsidR="002552FE">
        <w:t>submitted to the Texas Higher Education Coordinating Board (THECB)</w:t>
      </w:r>
      <w:r w:rsidR="00F74C3B">
        <w:t xml:space="preserve"> by October 31</w:t>
      </w:r>
      <w:r w:rsidR="002552FE">
        <w:t>, as required</w:t>
      </w:r>
      <w:r w:rsidR="00F74C3B">
        <w:t xml:space="preserve"> annually</w:t>
      </w:r>
      <w:r w:rsidR="002552FE">
        <w:t xml:space="preserve"> </w:t>
      </w:r>
      <w:r w:rsidR="00E00173">
        <w:t xml:space="preserve">by </w:t>
      </w:r>
      <w:r w:rsidR="00DB0769">
        <w:t>19 Tex. Admin. Code Section 3.</w:t>
      </w:r>
      <w:r w:rsidR="007B7B60">
        <w:t>19</w:t>
      </w:r>
      <w:r w:rsidR="0081630C">
        <w:t>(a</w:t>
      </w:r>
      <w:r w:rsidR="00890246">
        <w:t xml:space="preserve">). </w:t>
      </w:r>
    </w:p>
    <w:p w14:paraId="62BCA09B" w14:textId="77777777" w:rsidR="002F461F" w:rsidRDefault="002F461F" w:rsidP="002F461F">
      <w:pPr>
        <w:spacing w:after="0"/>
      </w:pPr>
    </w:p>
    <w:p w14:paraId="26CFE27D" w14:textId="77777777" w:rsidR="00C8689A" w:rsidRDefault="00C8689A">
      <w:pPr>
        <w:rPr>
          <w:b/>
          <w:bCs/>
        </w:rPr>
      </w:pPr>
      <w:r>
        <w:rPr>
          <w:b/>
          <w:bCs/>
        </w:rPr>
        <w:br w:type="page"/>
      </w:r>
    </w:p>
    <w:p w14:paraId="0424FB67" w14:textId="77777777" w:rsidR="0071340C" w:rsidRDefault="0071340C" w:rsidP="00276A92">
      <w:pPr>
        <w:spacing w:after="0" w:line="240" w:lineRule="auto"/>
        <w:jc w:val="center"/>
        <w:rPr>
          <w:b/>
          <w:bCs/>
          <w:sz w:val="28"/>
          <w:szCs w:val="28"/>
        </w:rPr>
      </w:pPr>
      <w:r>
        <w:rPr>
          <w:b/>
          <w:bCs/>
          <w:sz w:val="28"/>
          <w:szCs w:val="28"/>
        </w:rPr>
        <w:lastRenderedPageBreak/>
        <w:t>Appendix A</w:t>
      </w:r>
    </w:p>
    <w:p w14:paraId="19CD4828" w14:textId="0D9D0592" w:rsidR="0071340C" w:rsidRDefault="00CB3EE6" w:rsidP="00276A92">
      <w:pPr>
        <w:spacing w:after="0" w:line="240" w:lineRule="auto"/>
        <w:jc w:val="center"/>
        <w:rPr>
          <w:b/>
          <w:bCs/>
          <w:sz w:val="28"/>
          <w:szCs w:val="28"/>
        </w:rPr>
      </w:pPr>
      <w:r>
        <w:rPr>
          <w:b/>
          <w:bCs/>
          <w:sz w:val="28"/>
          <w:szCs w:val="28"/>
        </w:rPr>
        <w:t xml:space="preserve">2023 </w:t>
      </w:r>
      <w:r w:rsidR="0071340C">
        <w:rPr>
          <w:b/>
          <w:bCs/>
          <w:sz w:val="28"/>
          <w:szCs w:val="28"/>
        </w:rPr>
        <w:t>CEO Report</w:t>
      </w:r>
    </w:p>
    <w:p w14:paraId="7355E0AC" w14:textId="25719F8F" w:rsidR="0071340C" w:rsidRDefault="00CB3EE6" w:rsidP="00276A92">
      <w:pPr>
        <w:spacing w:after="0" w:line="240" w:lineRule="auto"/>
        <w:jc w:val="center"/>
        <w:rPr>
          <w:b/>
          <w:bCs/>
          <w:sz w:val="28"/>
          <w:szCs w:val="28"/>
        </w:rPr>
      </w:pPr>
      <w:r>
        <w:rPr>
          <w:b/>
          <w:bCs/>
          <w:sz w:val="28"/>
          <w:szCs w:val="28"/>
        </w:rPr>
        <w:t>2022-2023</w:t>
      </w:r>
      <w:r w:rsidR="0071340C" w:rsidRPr="00E509D3">
        <w:rPr>
          <w:b/>
          <w:bCs/>
          <w:sz w:val="28"/>
          <w:szCs w:val="28"/>
        </w:rPr>
        <w:t xml:space="preserve"> Academic Year</w:t>
      </w:r>
      <w:r w:rsidR="0071340C">
        <w:rPr>
          <w:b/>
          <w:bCs/>
          <w:sz w:val="28"/>
          <w:szCs w:val="28"/>
        </w:rPr>
        <w:t xml:space="preserve">: August </w:t>
      </w:r>
      <w:r w:rsidR="000118A6">
        <w:rPr>
          <w:b/>
          <w:bCs/>
          <w:sz w:val="28"/>
          <w:szCs w:val="28"/>
        </w:rPr>
        <w:t>29</w:t>
      </w:r>
      <w:r w:rsidR="0071340C">
        <w:rPr>
          <w:b/>
          <w:bCs/>
          <w:sz w:val="28"/>
          <w:szCs w:val="28"/>
        </w:rPr>
        <w:t>, 202</w:t>
      </w:r>
      <w:r>
        <w:rPr>
          <w:b/>
          <w:bCs/>
          <w:sz w:val="28"/>
          <w:szCs w:val="28"/>
        </w:rPr>
        <w:t>2</w:t>
      </w:r>
      <w:r w:rsidR="0071340C">
        <w:rPr>
          <w:b/>
          <w:bCs/>
          <w:sz w:val="28"/>
          <w:szCs w:val="28"/>
        </w:rPr>
        <w:t xml:space="preserve"> – August </w:t>
      </w:r>
      <w:r w:rsidR="000118A6">
        <w:rPr>
          <w:b/>
          <w:bCs/>
          <w:sz w:val="28"/>
          <w:szCs w:val="28"/>
        </w:rPr>
        <w:t>27</w:t>
      </w:r>
      <w:r w:rsidR="0071340C">
        <w:rPr>
          <w:b/>
          <w:bCs/>
          <w:sz w:val="28"/>
          <w:szCs w:val="28"/>
        </w:rPr>
        <w:t>, 202</w:t>
      </w:r>
      <w:r>
        <w:rPr>
          <w:b/>
          <w:bCs/>
          <w:sz w:val="28"/>
          <w:szCs w:val="28"/>
        </w:rPr>
        <w:t>3</w:t>
      </w:r>
    </w:p>
    <w:p w14:paraId="1C0AC05F" w14:textId="77777777" w:rsidR="00590FDE" w:rsidRDefault="00590FDE" w:rsidP="00276A92">
      <w:pPr>
        <w:spacing w:after="0" w:line="240" w:lineRule="auto"/>
        <w:jc w:val="center"/>
        <w:rPr>
          <w:b/>
          <w:bCs/>
          <w:sz w:val="28"/>
          <w:szCs w:val="28"/>
        </w:rPr>
      </w:pPr>
    </w:p>
    <w:tbl>
      <w:tblPr>
        <w:tblStyle w:val="TableGrid"/>
        <w:tblW w:w="0" w:type="auto"/>
        <w:jc w:val="center"/>
        <w:tblLook w:val="04A0" w:firstRow="1" w:lastRow="0" w:firstColumn="1" w:lastColumn="0" w:noHBand="0" w:noVBand="1"/>
      </w:tblPr>
      <w:tblGrid>
        <w:gridCol w:w="8460"/>
        <w:gridCol w:w="985"/>
      </w:tblGrid>
      <w:tr w:rsidR="00590FDE" w:rsidRPr="00E17A79" w14:paraId="47EDBF18" w14:textId="77777777" w:rsidTr="006565D1">
        <w:trPr>
          <w:trHeight w:val="107"/>
          <w:jc w:val="center"/>
        </w:trPr>
        <w:tc>
          <w:tcPr>
            <w:tcW w:w="9445" w:type="dxa"/>
            <w:gridSpan w:val="2"/>
            <w:shd w:val="clear" w:color="auto" w:fill="D9D9D9" w:themeFill="background1" w:themeFillShade="D9"/>
          </w:tcPr>
          <w:p w14:paraId="7A45196F" w14:textId="77777777" w:rsidR="00590FDE" w:rsidRPr="00E17A79" w:rsidRDefault="00590FDE" w:rsidP="006565D1">
            <w:pPr>
              <w:jc w:val="center"/>
              <w:rPr>
                <w:b/>
                <w:bCs/>
                <w:sz w:val="20"/>
                <w:szCs w:val="20"/>
              </w:rPr>
            </w:pPr>
            <w:r w:rsidRPr="00E17A79">
              <w:rPr>
                <w:b/>
                <w:bCs/>
                <w:sz w:val="20"/>
                <w:szCs w:val="20"/>
              </w:rPr>
              <w:t>Texas Education Code, Section 51.252</w:t>
            </w:r>
            <w:r>
              <w:rPr>
                <w:b/>
                <w:bCs/>
                <w:sz w:val="20"/>
                <w:szCs w:val="20"/>
              </w:rPr>
              <w:t>: Employee Reporting Requirements</w:t>
            </w:r>
          </w:p>
        </w:tc>
      </w:tr>
      <w:tr w:rsidR="00590FDE" w:rsidRPr="004F42EC" w14:paraId="1C50668A" w14:textId="77777777" w:rsidTr="006565D1">
        <w:trPr>
          <w:trHeight w:val="170"/>
          <w:jc w:val="center"/>
        </w:trPr>
        <w:tc>
          <w:tcPr>
            <w:tcW w:w="8460" w:type="dxa"/>
            <w:vMerge w:val="restart"/>
            <w:shd w:val="clear" w:color="auto" w:fill="D9D9D9" w:themeFill="background1" w:themeFillShade="D9"/>
          </w:tcPr>
          <w:p w14:paraId="06C8DAA8" w14:textId="77777777" w:rsidR="00590FDE" w:rsidRPr="00E17A79" w:rsidRDefault="00590FDE" w:rsidP="006565D1">
            <w:pPr>
              <w:rPr>
                <w:rFonts w:cstheme="minorHAnsi"/>
                <w:b/>
                <w:bCs/>
                <w:sz w:val="20"/>
                <w:szCs w:val="20"/>
              </w:rPr>
            </w:pPr>
            <w:r w:rsidRPr="00E17A79">
              <w:rPr>
                <w:b/>
                <w:bCs/>
                <w:sz w:val="20"/>
                <w:szCs w:val="20"/>
              </w:rPr>
              <w:t xml:space="preserve">Number of reports received under Section </w:t>
            </w:r>
            <w:r w:rsidRPr="00E17A79">
              <w:rPr>
                <w:rFonts w:cstheme="minorHAnsi"/>
                <w:b/>
                <w:bCs/>
                <w:sz w:val="20"/>
                <w:szCs w:val="20"/>
              </w:rPr>
              <w:t>51.252</w:t>
            </w:r>
            <w:r>
              <w:rPr>
                <w:rStyle w:val="FootnoteReference"/>
                <w:rFonts w:cstheme="minorHAnsi"/>
              </w:rPr>
              <w:footnoteReference w:id="1"/>
            </w:r>
          </w:p>
          <w:p w14:paraId="627917D3" w14:textId="77777777" w:rsidR="00590FDE" w:rsidRPr="004F42EC" w:rsidRDefault="00590FDE" w:rsidP="00590FDE">
            <w:pPr>
              <w:pStyle w:val="ListParagraph"/>
              <w:numPr>
                <w:ilvl w:val="0"/>
                <w:numId w:val="5"/>
              </w:numPr>
              <w:rPr>
                <w:sz w:val="20"/>
                <w:szCs w:val="20"/>
              </w:rPr>
            </w:pPr>
            <w:r>
              <w:rPr>
                <w:sz w:val="20"/>
                <w:szCs w:val="20"/>
              </w:rPr>
              <w:t xml:space="preserve">Employee submitted reports under Section 51.252 </w:t>
            </w:r>
          </w:p>
          <w:p w14:paraId="5A93EDB7" w14:textId="77777777" w:rsidR="00590FDE" w:rsidRPr="004F42EC" w:rsidRDefault="00590FDE" w:rsidP="00590FDE">
            <w:pPr>
              <w:pStyle w:val="ListParagraph"/>
              <w:numPr>
                <w:ilvl w:val="0"/>
                <w:numId w:val="5"/>
              </w:numPr>
              <w:rPr>
                <w:sz w:val="20"/>
                <w:szCs w:val="20"/>
              </w:rPr>
            </w:pPr>
            <w:r>
              <w:rPr>
                <w:sz w:val="20"/>
                <w:szCs w:val="20"/>
              </w:rPr>
              <w:t>C</w:t>
            </w:r>
            <w:r w:rsidRPr="004F42EC">
              <w:rPr>
                <w:sz w:val="20"/>
                <w:szCs w:val="20"/>
              </w:rPr>
              <w:t>onfidential reports</w:t>
            </w:r>
            <w:r w:rsidRPr="00E17A79">
              <w:rPr>
                <w:rStyle w:val="FootnoteReference"/>
              </w:rPr>
              <w:footnoteReference w:id="2"/>
            </w:r>
            <w:r w:rsidRPr="004F42EC">
              <w:rPr>
                <w:sz w:val="20"/>
                <w:szCs w:val="20"/>
              </w:rPr>
              <w:t xml:space="preserve"> under Section 51.252 </w:t>
            </w:r>
          </w:p>
        </w:tc>
        <w:tc>
          <w:tcPr>
            <w:tcW w:w="985" w:type="dxa"/>
          </w:tcPr>
          <w:p w14:paraId="78136D2E" w14:textId="77777777" w:rsidR="00590FDE" w:rsidRPr="004F42EC" w:rsidRDefault="00590FDE" w:rsidP="006565D1">
            <w:pPr>
              <w:jc w:val="center"/>
              <w:rPr>
                <w:b/>
                <w:bCs/>
                <w:sz w:val="20"/>
                <w:szCs w:val="20"/>
              </w:rPr>
            </w:pPr>
            <w:r>
              <w:rPr>
                <w:b/>
                <w:bCs/>
                <w:sz w:val="20"/>
                <w:szCs w:val="20"/>
              </w:rPr>
              <w:t>31</w:t>
            </w:r>
          </w:p>
        </w:tc>
      </w:tr>
      <w:tr w:rsidR="00590FDE" w:rsidRPr="004F42EC" w14:paraId="323A15D0" w14:textId="77777777" w:rsidTr="006565D1">
        <w:trPr>
          <w:trHeight w:val="366"/>
          <w:jc w:val="center"/>
        </w:trPr>
        <w:tc>
          <w:tcPr>
            <w:tcW w:w="8460" w:type="dxa"/>
            <w:vMerge/>
            <w:shd w:val="clear" w:color="auto" w:fill="D9D9D9" w:themeFill="background1" w:themeFillShade="D9"/>
          </w:tcPr>
          <w:p w14:paraId="537A741A" w14:textId="77777777" w:rsidR="00590FDE" w:rsidRPr="00E17A79" w:rsidRDefault="00590FDE" w:rsidP="006565D1">
            <w:pPr>
              <w:rPr>
                <w:b/>
                <w:bCs/>
                <w:sz w:val="20"/>
                <w:szCs w:val="20"/>
              </w:rPr>
            </w:pPr>
          </w:p>
        </w:tc>
        <w:tc>
          <w:tcPr>
            <w:tcW w:w="985" w:type="dxa"/>
          </w:tcPr>
          <w:p w14:paraId="1BC4FD96" w14:textId="77777777" w:rsidR="00590FDE" w:rsidRDefault="00590FDE" w:rsidP="006565D1">
            <w:pPr>
              <w:jc w:val="center"/>
              <w:rPr>
                <w:sz w:val="20"/>
                <w:szCs w:val="20"/>
              </w:rPr>
            </w:pPr>
            <w:r>
              <w:rPr>
                <w:sz w:val="20"/>
                <w:szCs w:val="20"/>
              </w:rPr>
              <w:t>25</w:t>
            </w:r>
          </w:p>
          <w:p w14:paraId="6F412BCC" w14:textId="77777777" w:rsidR="00590FDE" w:rsidRPr="004F42EC" w:rsidRDefault="00590FDE" w:rsidP="006565D1">
            <w:pPr>
              <w:jc w:val="center"/>
              <w:rPr>
                <w:sz w:val="20"/>
                <w:szCs w:val="20"/>
              </w:rPr>
            </w:pPr>
            <w:r>
              <w:rPr>
                <w:sz w:val="20"/>
                <w:szCs w:val="20"/>
              </w:rPr>
              <w:t>6</w:t>
            </w:r>
          </w:p>
        </w:tc>
      </w:tr>
      <w:tr w:rsidR="00590FDE" w:rsidRPr="005D5362" w14:paraId="49496B2C" w14:textId="77777777" w:rsidTr="006565D1">
        <w:trPr>
          <w:trHeight w:val="224"/>
          <w:jc w:val="center"/>
        </w:trPr>
        <w:tc>
          <w:tcPr>
            <w:tcW w:w="8460" w:type="dxa"/>
            <w:vMerge w:val="restart"/>
            <w:shd w:val="clear" w:color="auto" w:fill="D9D9D9" w:themeFill="background1" w:themeFillShade="D9"/>
          </w:tcPr>
          <w:p w14:paraId="7963AB32" w14:textId="77777777" w:rsidR="00590FDE" w:rsidRDefault="00590FDE" w:rsidP="006565D1">
            <w:pPr>
              <w:rPr>
                <w:b/>
                <w:bCs/>
                <w:sz w:val="20"/>
                <w:szCs w:val="20"/>
              </w:rPr>
            </w:pPr>
            <w:r w:rsidRPr="005D5362">
              <w:rPr>
                <w:b/>
                <w:bCs/>
                <w:sz w:val="20"/>
                <w:szCs w:val="20"/>
              </w:rPr>
              <w:t>Number of investigations conducted under Section 51.252</w:t>
            </w:r>
          </w:p>
          <w:p w14:paraId="7FAB86CF" w14:textId="77777777" w:rsidR="00590FDE" w:rsidRDefault="00590FDE" w:rsidP="00590FDE">
            <w:pPr>
              <w:pStyle w:val="ListParagraph"/>
              <w:numPr>
                <w:ilvl w:val="0"/>
                <w:numId w:val="7"/>
              </w:numPr>
              <w:rPr>
                <w:sz w:val="20"/>
                <w:szCs w:val="20"/>
              </w:rPr>
            </w:pPr>
            <w:r>
              <w:rPr>
                <w:sz w:val="20"/>
                <w:szCs w:val="20"/>
              </w:rPr>
              <w:t>Formal investigation ongoing</w:t>
            </w:r>
          </w:p>
          <w:p w14:paraId="725FB7E5" w14:textId="77777777" w:rsidR="00590FDE" w:rsidRDefault="00590FDE" w:rsidP="00590FDE">
            <w:pPr>
              <w:pStyle w:val="ListParagraph"/>
              <w:numPr>
                <w:ilvl w:val="0"/>
                <w:numId w:val="7"/>
              </w:numPr>
              <w:rPr>
                <w:sz w:val="20"/>
                <w:szCs w:val="20"/>
              </w:rPr>
            </w:pPr>
            <w:r>
              <w:rPr>
                <w:sz w:val="20"/>
                <w:szCs w:val="20"/>
              </w:rPr>
              <w:t xml:space="preserve">Formal investigation completed (Non-Title IX) – Preliminary Determination (Preponderance of evidence </w:t>
            </w:r>
            <w:r w:rsidRPr="0071340C">
              <w:rPr>
                <w:sz w:val="20"/>
                <w:szCs w:val="20"/>
                <w:u w:val="single"/>
              </w:rPr>
              <w:t>not</w:t>
            </w:r>
            <w:r>
              <w:rPr>
                <w:sz w:val="20"/>
                <w:szCs w:val="20"/>
              </w:rPr>
              <w:t xml:space="preserve"> met) and no disciplinary </w:t>
            </w:r>
            <w:proofErr w:type="gramStart"/>
            <w:r>
              <w:rPr>
                <w:sz w:val="20"/>
                <w:szCs w:val="20"/>
              </w:rPr>
              <w:t>referral</w:t>
            </w:r>
            <w:proofErr w:type="gramEnd"/>
          </w:p>
          <w:p w14:paraId="5D1EC067" w14:textId="77777777" w:rsidR="00590FDE" w:rsidRDefault="00590FDE" w:rsidP="00590FDE">
            <w:pPr>
              <w:pStyle w:val="ListParagraph"/>
              <w:numPr>
                <w:ilvl w:val="0"/>
                <w:numId w:val="7"/>
              </w:numPr>
              <w:rPr>
                <w:sz w:val="20"/>
                <w:szCs w:val="20"/>
              </w:rPr>
            </w:pPr>
            <w:r>
              <w:rPr>
                <w:sz w:val="20"/>
                <w:szCs w:val="20"/>
              </w:rPr>
              <w:t xml:space="preserve">Formal investigation completed (Non-Title IX) – Preliminary Determination (Preponderance of evidence met) and referred to a disciplinary </w:t>
            </w:r>
            <w:proofErr w:type="gramStart"/>
            <w:r>
              <w:rPr>
                <w:sz w:val="20"/>
                <w:szCs w:val="20"/>
              </w:rPr>
              <w:t>process</w:t>
            </w:r>
            <w:proofErr w:type="gramEnd"/>
          </w:p>
          <w:p w14:paraId="7FC82520" w14:textId="77777777" w:rsidR="00590FDE" w:rsidRPr="005D5362" w:rsidRDefault="00590FDE" w:rsidP="00590FDE">
            <w:pPr>
              <w:pStyle w:val="ListParagraph"/>
              <w:numPr>
                <w:ilvl w:val="0"/>
                <w:numId w:val="7"/>
              </w:numPr>
              <w:rPr>
                <w:sz w:val="20"/>
                <w:szCs w:val="20"/>
              </w:rPr>
            </w:pPr>
            <w:r>
              <w:rPr>
                <w:sz w:val="20"/>
                <w:szCs w:val="20"/>
              </w:rPr>
              <w:t>Formal investigation completed – No Preliminary Determination and referred to a disciplinary process</w:t>
            </w:r>
            <w:r>
              <w:rPr>
                <w:rStyle w:val="FootnoteReference"/>
              </w:rPr>
              <w:footnoteReference w:id="3"/>
            </w:r>
          </w:p>
        </w:tc>
        <w:tc>
          <w:tcPr>
            <w:tcW w:w="985" w:type="dxa"/>
          </w:tcPr>
          <w:p w14:paraId="3C454A8A" w14:textId="77777777" w:rsidR="00590FDE" w:rsidRPr="005D5362" w:rsidRDefault="00590FDE" w:rsidP="006565D1">
            <w:pPr>
              <w:jc w:val="center"/>
              <w:rPr>
                <w:b/>
                <w:bCs/>
                <w:sz w:val="20"/>
                <w:szCs w:val="20"/>
              </w:rPr>
            </w:pPr>
            <w:r>
              <w:rPr>
                <w:b/>
                <w:bCs/>
                <w:sz w:val="20"/>
                <w:szCs w:val="20"/>
              </w:rPr>
              <w:t>3</w:t>
            </w:r>
          </w:p>
        </w:tc>
      </w:tr>
      <w:tr w:rsidR="00590FDE" w:rsidRPr="005D5362" w14:paraId="06A65BCE" w14:textId="77777777" w:rsidTr="006565D1">
        <w:trPr>
          <w:trHeight w:val="486"/>
          <w:jc w:val="center"/>
        </w:trPr>
        <w:tc>
          <w:tcPr>
            <w:tcW w:w="8460" w:type="dxa"/>
            <w:vMerge/>
            <w:shd w:val="clear" w:color="auto" w:fill="D9D9D9" w:themeFill="background1" w:themeFillShade="D9"/>
          </w:tcPr>
          <w:p w14:paraId="20A14510" w14:textId="77777777" w:rsidR="00590FDE" w:rsidRPr="005D5362" w:rsidRDefault="00590FDE" w:rsidP="006565D1">
            <w:pPr>
              <w:rPr>
                <w:b/>
                <w:bCs/>
                <w:sz w:val="20"/>
                <w:szCs w:val="20"/>
              </w:rPr>
            </w:pPr>
          </w:p>
        </w:tc>
        <w:tc>
          <w:tcPr>
            <w:tcW w:w="985" w:type="dxa"/>
          </w:tcPr>
          <w:p w14:paraId="65E334A0" w14:textId="77777777" w:rsidR="00590FDE" w:rsidRDefault="00590FDE" w:rsidP="006565D1">
            <w:pPr>
              <w:jc w:val="center"/>
              <w:rPr>
                <w:sz w:val="20"/>
                <w:szCs w:val="20"/>
              </w:rPr>
            </w:pPr>
            <w:r>
              <w:rPr>
                <w:sz w:val="20"/>
                <w:szCs w:val="20"/>
              </w:rPr>
              <w:t>2</w:t>
            </w:r>
          </w:p>
          <w:p w14:paraId="5866D8B5" w14:textId="77777777" w:rsidR="00590FDE" w:rsidRDefault="00590FDE" w:rsidP="006565D1">
            <w:pPr>
              <w:jc w:val="center"/>
              <w:rPr>
                <w:sz w:val="20"/>
                <w:szCs w:val="20"/>
              </w:rPr>
            </w:pPr>
            <w:r>
              <w:rPr>
                <w:sz w:val="20"/>
                <w:szCs w:val="20"/>
              </w:rPr>
              <w:t>1</w:t>
            </w:r>
          </w:p>
          <w:p w14:paraId="7C9477E2" w14:textId="77777777" w:rsidR="00590FDE" w:rsidRDefault="00590FDE" w:rsidP="006565D1">
            <w:pPr>
              <w:jc w:val="center"/>
              <w:rPr>
                <w:sz w:val="20"/>
                <w:szCs w:val="20"/>
              </w:rPr>
            </w:pPr>
          </w:p>
          <w:p w14:paraId="66C81B06" w14:textId="77777777" w:rsidR="00590FDE" w:rsidRDefault="00590FDE" w:rsidP="006565D1">
            <w:pPr>
              <w:jc w:val="center"/>
              <w:rPr>
                <w:sz w:val="20"/>
                <w:szCs w:val="20"/>
              </w:rPr>
            </w:pPr>
            <w:r>
              <w:rPr>
                <w:sz w:val="20"/>
                <w:szCs w:val="20"/>
              </w:rPr>
              <w:t>--</w:t>
            </w:r>
          </w:p>
          <w:p w14:paraId="25C1B42F" w14:textId="77777777" w:rsidR="00590FDE" w:rsidRDefault="00590FDE" w:rsidP="006565D1">
            <w:pPr>
              <w:jc w:val="center"/>
              <w:rPr>
                <w:sz w:val="20"/>
                <w:szCs w:val="20"/>
              </w:rPr>
            </w:pPr>
          </w:p>
          <w:p w14:paraId="132A4458" w14:textId="77777777" w:rsidR="00590FDE" w:rsidRDefault="00590FDE" w:rsidP="006565D1">
            <w:pPr>
              <w:jc w:val="center"/>
              <w:rPr>
                <w:sz w:val="20"/>
                <w:szCs w:val="20"/>
              </w:rPr>
            </w:pPr>
          </w:p>
          <w:p w14:paraId="4BAB5345" w14:textId="76447FF9" w:rsidR="00590FDE" w:rsidRPr="005D5362" w:rsidRDefault="00590FDE" w:rsidP="00FB2385">
            <w:pPr>
              <w:jc w:val="center"/>
              <w:rPr>
                <w:sz w:val="20"/>
                <w:szCs w:val="20"/>
              </w:rPr>
            </w:pPr>
            <w:r>
              <w:rPr>
                <w:sz w:val="20"/>
                <w:szCs w:val="20"/>
              </w:rPr>
              <w:t>--</w:t>
            </w:r>
          </w:p>
        </w:tc>
      </w:tr>
      <w:tr w:rsidR="00590FDE" w:rsidRPr="00E17A79" w14:paraId="14A6CB06" w14:textId="77777777" w:rsidTr="006565D1">
        <w:trPr>
          <w:trHeight w:val="215"/>
          <w:jc w:val="center"/>
        </w:trPr>
        <w:tc>
          <w:tcPr>
            <w:tcW w:w="8460" w:type="dxa"/>
            <w:vMerge w:val="restart"/>
            <w:shd w:val="clear" w:color="auto" w:fill="D9D9D9" w:themeFill="background1" w:themeFillShade="D9"/>
          </w:tcPr>
          <w:p w14:paraId="371CAA3B" w14:textId="77777777" w:rsidR="00590FDE" w:rsidRPr="00893FCA" w:rsidRDefault="00590FDE" w:rsidP="006565D1">
            <w:pPr>
              <w:rPr>
                <w:b/>
                <w:bCs/>
                <w:sz w:val="20"/>
                <w:szCs w:val="20"/>
              </w:rPr>
            </w:pPr>
            <w:r w:rsidRPr="00893FCA">
              <w:rPr>
                <w:b/>
                <w:bCs/>
                <w:sz w:val="20"/>
                <w:szCs w:val="20"/>
              </w:rPr>
              <w:t>Disposition of disciplinary processes for reports under Section 51.252:</w:t>
            </w:r>
          </w:p>
          <w:p w14:paraId="61BB5C58" w14:textId="77777777" w:rsidR="00590FDE" w:rsidRDefault="00590FDE" w:rsidP="006565D1">
            <w:pPr>
              <w:pStyle w:val="ListParagraph"/>
              <w:numPr>
                <w:ilvl w:val="0"/>
                <w:numId w:val="1"/>
              </w:numPr>
              <w:ind w:left="702"/>
              <w:rPr>
                <w:sz w:val="20"/>
                <w:szCs w:val="20"/>
              </w:rPr>
            </w:pPr>
            <w:r>
              <w:rPr>
                <w:sz w:val="20"/>
                <w:szCs w:val="20"/>
              </w:rPr>
              <w:t>Disciplinary process pending</w:t>
            </w:r>
          </w:p>
          <w:p w14:paraId="6BD27DAC" w14:textId="77777777" w:rsidR="00590FDE" w:rsidRPr="006E5367" w:rsidRDefault="00590FDE" w:rsidP="006565D1">
            <w:pPr>
              <w:pStyle w:val="ListParagraph"/>
              <w:numPr>
                <w:ilvl w:val="0"/>
                <w:numId w:val="1"/>
              </w:numPr>
              <w:ind w:left="702"/>
              <w:rPr>
                <w:sz w:val="20"/>
                <w:szCs w:val="20"/>
              </w:rPr>
            </w:pPr>
            <w:r>
              <w:rPr>
                <w:sz w:val="20"/>
                <w:szCs w:val="20"/>
              </w:rPr>
              <w:t xml:space="preserve">Disciplinary process completed – </w:t>
            </w:r>
            <w:r w:rsidRPr="008A4820">
              <w:rPr>
                <w:sz w:val="20"/>
                <w:szCs w:val="20"/>
              </w:rPr>
              <w:t>No Finding of Policy Violation</w:t>
            </w:r>
            <w:r w:rsidRPr="00E17A79">
              <w:rPr>
                <w:rStyle w:val="FootnoteReference"/>
              </w:rPr>
              <w:footnoteReference w:id="4"/>
            </w:r>
          </w:p>
          <w:p w14:paraId="052C2A4C" w14:textId="77777777" w:rsidR="00590FDE" w:rsidRPr="00E17A79" w:rsidRDefault="00590FDE" w:rsidP="006565D1">
            <w:pPr>
              <w:pStyle w:val="ListParagraph"/>
              <w:numPr>
                <w:ilvl w:val="0"/>
                <w:numId w:val="1"/>
              </w:numPr>
              <w:ind w:left="702"/>
              <w:rPr>
                <w:sz w:val="20"/>
                <w:szCs w:val="20"/>
              </w:rPr>
            </w:pPr>
            <w:r>
              <w:rPr>
                <w:sz w:val="20"/>
                <w:szCs w:val="20"/>
              </w:rPr>
              <w:t xml:space="preserve">Disciplinary process completed – </w:t>
            </w:r>
            <w:r w:rsidRPr="00E17A79">
              <w:rPr>
                <w:sz w:val="20"/>
                <w:szCs w:val="20"/>
              </w:rPr>
              <w:t>Employee Disciplinary Sanction</w:t>
            </w:r>
          </w:p>
          <w:p w14:paraId="054005CF" w14:textId="3CEE5C6F" w:rsidR="00590FDE" w:rsidRPr="00560378" w:rsidRDefault="00590FDE" w:rsidP="00560378">
            <w:pPr>
              <w:pStyle w:val="ListParagraph"/>
              <w:numPr>
                <w:ilvl w:val="0"/>
                <w:numId w:val="1"/>
              </w:numPr>
              <w:ind w:left="702"/>
              <w:rPr>
                <w:sz w:val="20"/>
                <w:szCs w:val="20"/>
              </w:rPr>
            </w:pPr>
            <w:r>
              <w:rPr>
                <w:sz w:val="20"/>
                <w:szCs w:val="20"/>
              </w:rPr>
              <w:t xml:space="preserve">Disciplinary process completed – </w:t>
            </w:r>
            <w:r w:rsidRPr="00E17A79">
              <w:rPr>
                <w:sz w:val="20"/>
                <w:szCs w:val="20"/>
              </w:rPr>
              <w:t>Student Disciplinary Sanction</w:t>
            </w:r>
          </w:p>
        </w:tc>
        <w:tc>
          <w:tcPr>
            <w:tcW w:w="985" w:type="dxa"/>
          </w:tcPr>
          <w:p w14:paraId="042B8555" w14:textId="77777777" w:rsidR="00590FDE" w:rsidRPr="00E17A79" w:rsidRDefault="00590FDE" w:rsidP="006565D1">
            <w:pPr>
              <w:jc w:val="center"/>
              <w:rPr>
                <w:b/>
                <w:bCs/>
                <w:sz w:val="20"/>
                <w:szCs w:val="20"/>
              </w:rPr>
            </w:pPr>
            <w:r>
              <w:rPr>
                <w:b/>
                <w:bCs/>
                <w:sz w:val="20"/>
                <w:szCs w:val="20"/>
              </w:rPr>
              <w:t>--</w:t>
            </w:r>
          </w:p>
        </w:tc>
      </w:tr>
      <w:tr w:rsidR="00590FDE" w:rsidRPr="00E17A79" w14:paraId="2AF1AE0F" w14:textId="77777777" w:rsidTr="006565D1">
        <w:trPr>
          <w:trHeight w:val="732"/>
          <w:jc w:val="center"/>
        </w:trPr>
        <w:tc>
          <w:tcPr>
            <w:tcW w:w="8460" w:type="dxa"/>
            <w:vMerge/>
            <w:shd w:val="clear" w:color="auto" w:fill="D9D9D9" w:themeFill="background1" w:themeFillShade="D9"/>
          </w:tcPr>
          <w:p w14:paraId="5DC7610C" w14:textId="77777777" w:rsidR="00590FDE" w:rsidRPr="00893FCA" w:rsidRDefault="00590FDE" w:rsidP="006565D1">
            <w:pPr>
              <w:rPr>
                <w:b/>
                <w:bCs/>
                <w:sz w:val="20"/>
                <w:szCs w:val="20"/>
              </w:rPr>
            </w:pPr>
          </w:p>
        </w:tc>
        <w:tc>
          <w:tcPr>
            <w:tcW w:w="985" w:type="dxa"/>
          </w:tcPr>
          <w:p w14:paraId="44E2E838" w14:textId="77777777" w:rsidR="00590FDE" w:rsidRDefault="00590FDE" w:rsidP="006565D1">
            <w:pPr>
              <w:jc w:val="center"/>
              <w:rPr>
                <w:sz w:val="20"/>
                <w:szCs w:val="20"/>
              </w:rPr>
            </w:pPr>
            <w:r>
              <w:rPr>
                <w:sz w:val="20"/>
                <w:szCs w:val="20"/>
              </w:rPr>
              <w:t>--</w:t>
            </w:r>
          </w:p>
          <w:p w14:paraId="4FF38489" w14:textId="77777777" w:rsidR="00590FDE" w:rsidRPr="00E17A79" w:rsidRDefault="00590FDE" w:rsidP="006565D1">
            <w:pPr>
              <w:jc w:val="center"/>
              <w:rPr>
                <w:sz w:val="20"/>
                <w:szCs w:val="20"/>
              </w:rPr>
            </w:pPr>
            <w:r>
              <w:rPr>
                <w:sz w:val="20"/>
                <w:szCs w:val="20"/>
              </w:rPr>
              <w:t>--</w:t>
            </w:r>
          </w:p>
          <w:p w14:paraId="4C304D97" w14:textId="77777777" w:rsidR="00590FDE" w:rsidRPr="00E17A79" w:rsidRDefault="00590FDE" w:rsidP="006565D1">
            <w:pPr>
              <w:jc w:val="center"/>
              <w:rPr>
                <w:sz w:val="20"/>
                <w:szCs w:val="20"/>
              </w:rPr>
            </w:pPr>
            <w:r>
              <w:rPr>
                <w:sz w:val="20"/>
                <w:szCs w:val="20"/>
              </w:rPr>
              <w:t>--</w:t>
            </w:r>
          </w:p>
          <w:p w14:paraId="741D812E" w14:textId="77777777" w:rsidR="00590FDE" w:rsidRPr="00E17A79" w:rsidRDefault="00590FDE" w:rsidP="006565D1">
            <w:pPr>
              <w:jc w:val="center"/>
              <w:rPr>
                <w:sz w:val="20"/>
                <w:szCs w:val="20"/>
              </w:rPr>
            </w:pPr>
            <w:r>
              <w:rPr>
                <w:sz w:val="20"/>
                <w:szCs w:val="20"/>
              </w:rPr>
              <w:t>--</w:t>
            </w:r>
          </w:p>
        </w:tc>
      </w:tr>
      <w:tr w:rsidR="00590FDE" w:rsidRPr="00E17A79" w14:paraId="26437EE5" w14:textId="77777777" w:rsidTr="006565D1">
        <w:trPr>
          <w:trHeight w:val="503"/>
          <w:jc w:val="center"/>
        </w:trPr>
        <w:tc>
          <w:tcPr>
            <w:tcW w:w="8460" w:type="dxa"/>
            <w:vMerge w:val="restart"/>
            <w:shd w:val="clear" w:color="auto" w:fill="D9D9D9" w:themeFill="background1" w:themeFillShade="D9"/>
          </w:tcPr>
          <w:p w14:paraId="14AF421B" w14:textId="77777777" w:rsidR="00590FDE" w:rsidRDefault="00590FDE" w:rsidP="006565D1">
            <w:pPr>
              <w:rPr>
                <w:b/>
                <w:bCs/>
                <w:sz w:val="20"/>
                <w:szCs w:val="20"/>
              </w:rPr>
            </w:pPr>
            <w:r w:rsidRPr="006E5367">
              <w:rPr>
                <w:b/>
                <w:bCs/>
                <w:sz w:val="20"/>
                <w:szCs w:val="20"/>
              </w:rPr>
              <w:t xml:space="preserve">Number of reports under Section 51.252 for which the institution determined </w:t>
            </w:r>
            <w:r w:rsidRPr="006E5367">
              <w:rPr>
                <w:b/>
                <w:bCs/>
                <w:sz w:val="20"/>
                <w:szCs w:val="20"/>
                <w:u w:val="single"/>
              </w:rPr>
              <w:t>not</w:t>
            </w:r>
            <w:r w:rsidRPr="006E5367">
              <w:rPr>
                <w:b/>
                <w:bCs/>
                <w:sz w:val="20"/>
                <w:szCs w:val="20"/>
              </w:rPr>
              <w:t xml:space="preserve"> to initiate a disciplinary </w:t>
            </w:r>
            <w:proofErr w:type="gramStart"/>
            <w:r w:rsidRPr="006E5367">
              <w:rPr>
                <w:b/>
                <w:bCs/>
                <w:sz w:val="20"/>
                <w:szCs w:val="20"/>
              </w:rPr>
              <w:t>process</w:t>
            </w:r>
            <w:proofErr w:type="gramEnd"/>
          </w:p>
          <w:p w14:paraId="2287B251" w14:textId="77777777" w:rsidR="00590FDE" w:rsidRDefault="00590FDE" w:rsidP="00590FDE">
            <w:pPr>
              <w:pStyle w:val="ListParagraph"/>
              <w:numPr>
                <w:ilvl w:val="0"/>
                <w:numId w:val="8"/>
              </w:numPr>
              <w:rPr>
                <w:sz w:val="20"/>
                <w:szCs w:val="20"/>
              </w:rPr>
            </w:pPr>
            <w:r>
              <w:rPr>
                <w:sz w:val="20"/>
                <w:szCs w:val="20"/>
              </w:rPr>
              <w:lastRenderedPageBreak/>
              <w:t>Confidential reports under Section 51.252</w:t>
            </w:r>
          </w:p>
          <w:p w14:paraId="4AD0A338" w14:textId="77777777" w:rsidR="00590FDE" w:rsidRDefault="00590FDE" w:rsidP="00590FDE">
            <w:pPr>
              <w:pStyle w:val="ListParagraph"/>
              <w:numPr>
                <w:ilvl w:val="0"/>
                <w:numId w:val="8"/>
              </w:numPr>
              <w:rPr>
                <w:sz w:val="20"/>
                <w:szCs w:val="20"/>
              </w:rPr>
            </w:pPr>
            <w:r>
              <w:rPr>
                <w:sz w:val="20"/>
                <w:szCs w:val="20"/>
              </w:rPr>
              <w:t xml:space="preserve">Report </w:t>
            </w:r>
            <w:proofErr w:type="gramStart"/>
            <w:r>
              <w:rPr>
                <w:sz w:val="20"/>
                <w:szCs w:val="20"/>
              </w:rPr>
              <w:t>received,</w:t>
            </w:r>
            <w:proofErr w:type="gramEnd"/>
            <w:r>
              <w:rPr>
                <w:sz w:val="20"/>
                <w:szCs w:val="20"/>
              </w:rPr>
              <w:t xml:space="preserve"> preliminary review of information known at this time</w:t>
            </w:r>
          </w:p>
          <w:p w14:paraId="4112745C" w14:textId="77777777" w:rsidR="00590FDE" w:rsidRPr="006E5367" w:rsidRDefault="00590FDE" w:rsidP="00590FDE">
            <w:pPr>
              <w:pStyle w:val="ListParagraph"/>
              <w:numPr>
                <w:ilvl w:val="0"/>
                <w:numId w:val="8"/>
              </w:numPr>
              <w:rPr>
                <w:sz w:val="20"/>
                <w:szCs w:val="20"/>
              </w:rPr>
            </w:pPr>
            <w:r>
              <w:rPr>
                <w:sz w:val="20"/>
                <w:szCs w:val="20"/>
              </w:rPr>
              <w:t xml:space="preserve">Respondent’s identity is </w:t>
            </w:r>
            <w:proofErr w:type="gramStart"/>
            <w:r>
              <w:rPr>
                <w:sz w:val="20"/>
                <w:szCs w:val="20"/>
              </w:rPr>
              <w:t>unknown</w:t>
            </w:r>
            <w:proofErr w:type="gramEnd"/>
          </w:p>
          <w:p w14:paraId="7C06BF2A" w14:textId="77777777" w:rsidR="00590FDE" w:rsidRPr="006E5367" w:rsidRDefault="00590FDE" w:rsidP="00590FDE">
            <w:pPr>
              <w:pStyle w:val="ListParagraph"/>
              <w:numPr>
                <w:ilvl w:val="0"/>
                <w:numId w:val="8"/>
              </w:numPr>
              <w:rPr>
                <w:sz w:val="20"/>
                <w:szCs w:val="20"/>
              </w:rPr>
            </w:pPr>
            <w:r>
              <w:rPr>
                <w:sz w:val="20"/>
                <w:szCs w:val="20"/>
              </w:rPr>
              <w:t xml:space="preserve">Respondent’s not </w:t>
            </w:r>
            <w:proofErr w:type="gramStart"/>
            <w:r>
              <w:rPr>
                <w:sz w:val="20"/>
                <w:szCs w:val="20"/>
              </w:rPr>
              <w:t>affiliated</w:t>
            </w:r>
            <w:proofErr w:type="gramEnd"/>
            <w:r>
              <w:rPr>
                <w:sz w:val="20"/>
                <w:szCs w:val="20"/>
              </w:rPr>
              <w:t xml:space="preserve"> </w:t>
            </w:r>
          </w:p>
          <w:p w14:paraId="29E0B4FB" w14:textId="77777777" w:rsidR="00590FDE" w:rsidRDefault="00590FDE" w:rsidP="00590FDE">
            <w:pPr>
              <w:pStyle w:val="ListParagraph"/>
              <w:numPr>
                <w:ilvl w:val="0"/>
                <w:numId w:val="8"/>
              </w:numPr>
              <w:rPr>
                <w:sz w:val="20"/>
                <w:szCs w:val="20"/>
              </w:rPr>
            </w:pPr>
            <w:r>
              <w:rPr>
                <w:sz w:val="20"/>
                <w:szCs w:val="20"/>
              </w:rPr>
              <w:t xml:space="preserve">Administrative closure due to insufficient information to </w:t>
            </w:r>
            <w:proofErr w:type="gramStart"/>
            <w:r>
              <w:rPr>
                <w:sz w:val="20"/>
                <w:szCs w:val="20"/>
              </w:rPr>
              <w:t>investigate</w:t>
            </w:r>
            <w:proofErr w:type="gramEnd"/>
          </w:p>
          <w:p w14:paraId="2C8BCB70" w14:textId="77777777" w:rsidR="00590FDE" w:rsidRDefault="00590FDE" w:rsidP="00590FDE">
            <w:pPr>
              <w:pStyle w:val="ListParagraph"/>
              <w:numPr>
                <w:ilvl w:val="0"/>
                <w:numId w:val="8"/>
              </w:numPr>
              <w:rPr>
                <w:sz w:val="20"/>
                <w:szCs w:val="20"/>
              </w:rPr>
            </w:pPr>
            <w:r>
              <w:rPr>
                <w:sz w:val="20"/>
                <w:szCs w:val="20"/>
              </w:rPr>
              <w:t xml:space="preserve">Administrative closure due to allegations not meeting definitions of prohibited </w:t>
            </w:r>
            <w:proofErr w:type="gramStart"/>
            <w:r>
              <w:rPr>
                <w:sz w:val="20"/>
                <w:szCs w:val="20"/>
              </w:rPr>
              <w:t>conduct</w:t>
            </w:r>
            <w:proofErr w:type="gramEnd"/>
          </w:p>
          <w:p w14:paraId="0A0861C1" w14:textId="77777777" w:rsidR="00590FDE" w:rsidRDefault="00590FDE" w:rsidP="00590FDE">
            <w:pPr>
              <w:pStyle w:val="ListParagraph"/>
              <w:numPr>
                <w:ilvl w:val="0"/>
                <w:numId w:val="8"/>
              </w:numPr>
              <w:rPr>
                <w:sz w:val="20"/>
                <w:szCs w:val="20"/>
              </w:rPr>
            </w:pPr>
            <w:r>
              <w:rPr>
                <w:sz w:val="20"/>
                <w:szCs w:val="20"/>
              </w:rPr>
              <w:t xml:space="preserve">Determined matter was previously investigated or alleged conduct did not meet the definition of sexual harassment, sexual assault, dating violence or </w:t>
            </w:r>
            <w:proofErr w:type="gramStart"/>
            <w:r>
              <w:rPr>
                <w:sz w:val="20"/>
                <w:szCs w:val="20"/>
              </w:rPr>
              <w:t>stalking</w:t>
            </w:r>
            <w:proofErr w:type="gramEnd"/>
          </w:p>
          <w:p w14:paraId="7E9AE953" w14:textId="77777777" w:rsidR="00590FDE" w:rsidRDefault="00590FDE" w:rsidP="00590FDE">
            <w:pPr>
              <w:pStyle w:val="ListParagraph"/>
              <w:numPr>
                <w:ilvl w:val="0"/>
                <w:numId w:val="8"/>
              </w:numPr>
              <w:rPr>
                <w:sz w:val="20"/>
                <w:szCs w:val="20"/>
              </w:rPr>
            </w:pPr>
            <w:r>
              <w:rPr>
                <w:sz w:val="20"/>
                <w:szCs w:val="20"/>
              </w:rPr>
              <w:t xml:space="preserve">Complainant requested the institution not </w:t>
            </w:r>
            <w:proofErr w:type="gramStart"/>
            <w:r>
              <w:rPr>
                <w:sz w:val="20"/>
                <w:szCs w:val="20"/>
              </w:rPr>
              <w:t>investigate</w:t>
            </w:r>
            <w:proofErr w:type="gramEnd"/>
            <w:r>
              <w:rPr>
                <w:sz w:val="20"/>
                <w:szCs w:val="20"/>
              </w:rPr>
              <w:t xml:space="preserve"> </w:t>
            </w:r>
          </w:p>
          <w:p w14:paraId="17F6088B" w14:textId="77777777" w:rsidR="00590FDE" w:rsidRDefault="00590FDE" w:rsidP="00590FDE">
            <w:pPr>
              <w:pStyle w:val="ListParagraph"/>
              <w:numPr>
                <w:ilvl w:val="0"/>
                <w:numId w:val="8"/>
              </w:numPr>
              <w:rPr>
                <w:sz w:val="20"/>
                <w:szCs w:val="20"/>
              </w:rPr>
            </w:pPr>
            <w:r>
              <w:rPr>
                <w:sz w:val="20"/>
                <w:szCs w:val="20"/>
              </w:rPr>
              <w:t>Informal resolution process ongoing</w:t>
            </w:r>
          </w:p>
          <w:p w14:paraId="54B28BD8" w14:textId="77777777" w:rsidR="00590FDE" w:rsidRPr="00337046" w:rsidRDefault="00590FDE" w:rsidP="00590FDE">
            <w:pPr>
              <w:pStyle w:val="ListParagraph"/>
              <w:numPr>
                <w:ilvl w:val="0"/>
                <w:numId w:val="8"/>
              </w:numPr>
              <w:rPr>
                <w:bCs/>
                <w:sz w:val="20"/>
                <w:szCs w:val="20"/>
              </w:rPr>
            </w:pPr>
            <w:r>
              <w:rPr>
                <w:sz w:val="20"/>
                <w:szCs w:val="20"/>
              </w:rPr>
              <w:t>Informal resolution process completed</w:t>
            </w:r>
          </w:p>
        </w:tc>
        <w:tc>
          <w:tcPr>
            <w:tcW w:w="985" w:type="dxa"/>
          </w:tcPr>
          <w:p w14:paraId="60ABC505" w14:textId="77777777" w:rsidR="00590FDE" w:rsidRDefault="00590FDE" w:rsidP="006565D1">
            <w:pPr>
              <w:jc w:val="center"/>
              <w:rPr>
                <w:b/>
                <w:bCs/>
                <w:sz w:val="20"/>
                <w:szCs w:val="20"/>
              </w:rPr>
            </w:pPr>
          </w:p>
          <w:p w14:paraId="38B22BB5" w14:textId="77777777" w:rsidR="00590FDE" w:rsidRPr="00E17A79" w:rsidRDefault="00590FDE" w:rsidP="006565D1">
            <w:pPr>
              <w:jc w:val="center"/>
              <w:rPr>
                <w:b/>
                <w:bCs/>
                <w:sz w:val="20"/>
                <w:szCs w:val="20"/>
              </w:rPr>
            </w:pPr>
            <w:r>
              <w:rPr>
                <w:b/>
                <w:bCs/>
                <w:sz w:val="20"/>
                <w:szCs w:val="20"/>
              </w:rPr>
              <w:t>28</w:t>
            </w:r>
          </w:p>
        </w:tc>
      </w:tr>
      <w:tr w:rsidR="00590FDE" w:rsidRPr="006E5367" w14:paraId="0B2E9D95" w14:textId="77777777" w:rsidTr="006565D1">
        <w:trPr>
          <w:trHeight w:val="612"/>
          <w:jc w:val="center"/>
        </w:trPr>
        <w:tc>
          <w:tcPr>
            <w:tcW w:w="8460" w:type="dxa"/>
            <w:vMerge/>
            <w:shd w:val="clear" w:color="auto" w:fill="D9D9D9" w:themeFill="background1" w:themeFillShade="D9"/>
          </w:tcPr>
          <w:p w14:paraId="0667DD41" w14:textId="77777777" w:rsidR="00590FDE" w:rsidRPr="006E5367" w:rsidRDefault="00590FDE" w:rsidP="006565D1">
            <w:pPr>
              <w:rPr>
                <w:b/>
                <w:bCs/>
                <w:sz w:val="20"/>
                <w:szCs w:val="20"/>
              </w:rPr>
            </w:pPr>
          </w:p>
        </w:tc>
        <w:tc>
          <w:tcPr>
            <w:tcW w:w="985" w:type="dxa"/>
          </w:tcPr>
          <w:p w14:paraId="599FB3B8" w14:textId="77777777" w:rsidR="00590FDE" w:rsidRPr="006E5367" w:rsidRDefault="00590FDE" w:rsidP="006565D1">
            <w:pPr>
              <w:jc w:val="center"/>
              <w:rPr>
                <w:sz w:val="20"/>
                <w:szCs w:val="20"/>
              </w:rPr>
            </w:pPr>
            <w:r>
              <w:rPr>
                <w:sz w:val="20"/>
                <w:szCs w:val="20"/>
              </w:rPr>
              <w:t>6</w:t>
            </w:r>
          </w:p>
          <w:p w14:paraId="5EBE8105" w14:textId="77777777" w:rsidR="00590FDE" w:rsidRDefault="00590FDE" w:rsidP="006565D1">
            <w:pPr>
              <w:jc w:val="center"/>
              <w:rPr>
                <w:sz w:val="20"/>
                <w:szCs w:val="20"/>
              </w:rPr>
            </w:pPr>
            <w:r>
              <w:rPr>
                <w:sz w:val="20"/>
                <w:szCs w:val="20"/>
              </w:rPr>
              <w:t>2</w:t>
            </w:r>
          </w:p>
          <w:p w14:paraId="4D687B3A" w14:textId="77777777" w:rsidR="00590FDE" w:rsidRDefault="00590FDE" w:rsidP="006565D1">
            <w:pPr>
              <w:jc w:val="center"/>
              <w:rPr>
                <w:sz w:val="20"/>
                <w:szCs w:val="20"/>
              </w:rPr>
            </w:pPr>
            <w:r>
              <w:rPr>
                <w:sz w:val="20"/>
                <w:szCs w:val="20"/>
              </w:rPr>
              <w:t>--</w:t>
            </w:r>
          </w:p>
          <w:p w14:paraId="3C4C34D1" w14:textId="77777777" w:rsidR="00590FDE" w:rsidRDefault="00590FDE" w:rsidP="006565D1">
            <w:pPr>
              <w:jc w:val="center"/>
              <w:rPr>
                <w:sz w:val="20"/>
                <w:szCs w:val="20"/>
              </w:rPr>
            </w:pPr>
            <w:r>
              <w:rPr>
                <w:sz w:val="20"/>
                <w:szCs w:val="20"/>
              </w:rPr>
              <w:t>10</w:t>
            </w:r>
          </w:p>
          <w:p w14:paraId="5292FA1C" w14:textId="77777777" w:rsidR="00590FDE" w:rsidRDefault="00590FDE" w:rsidP="006565D1">
            <w:pPr>
              <w:jc w:val="center"/>
              <w:rPr>
                <w:sz w:val="20"/>
                <w:szCs w:val="20"/>
              </w:rPr>
            </w:pPr>
            <w:r>
              <w:rPr>
                <w:sz w:val="20"/>
                <w:szCs w:val="20"/>
              </w:rPr>
              <w:t>6</w:t>
            </w:r>
          </w:p>
          <w:p w14:paraId="6B91E93F" w14:textId="77777777" w:rsidR="00590FDE" w:rsidRDefault="00590FDE" w:rsidP="006565D1">
            <w:pPr>
              <w:jc w:val="center"/>
              <w:rPr>
                <w:sz w:val="20"/>
                <w:szCs w:val="20"/>
              </w:rPr>
            </w:pPr>
            <w:r>
              <w:rPr>
                <w:sz w:val="20"/>
                <w:szCs w:val="20"/>
              </w:rPr>
              <w:t>4</w:t>
            </w:r>
          </w:p>
          <w:p w14:paraId="57AE175D" w14:textId="77777777" w:rsidR="00590FDE" w:rsidRDefault="00590FDE" w:rsidP="006565D1">
            <w:pPr>
              <w:rPr>
                <w:sz w:val="20"/>
                <w:szCs w:val="20"/>
              </w:rPr>
            </w:pPr>
          </w:p>
          <w:p w14:paraId="4CC31FD4" w14:textId="77777777" w:rsidR="00590FDE" w:rsidRDefault="00590FDE" w:rsidP="006565D1">
            <w:pPr>
              <w:jc w:val="center"/>
              <w:rPr>
                <w:sz w:val="20"/>
                <w:szCs w:val="20"/>
              </w:rPr>
            </w:pPr>
            <w:r>
              <w:rPr>
                <w:sz w:val="20"/>
                <w:szCs w:val="20"/>
              </w:rPr>
              <w:t>--</w:t>
            </w:r>
          </w:p>
          <w:p w14:paraId="74A8E812" w14:textId="77777777" w:rsidR="00590FDE" w:rsidRDefault="00590FDE" w:rsidP="006565D1">
            <w:pPr>
              <w:jc w:val="center"/>
              <w:rPr>
                <w:sz w:val="20"/>
                <w:szCs w:val="20"/>
              </w:rPr>
            </w:pPr>
            <w:r>
              <w:rPr>
                <w:sz w:val="20"/>
                <w:szCs w:val="20"/>
              </w:rPr>
              <w:t>--</w:t>
            </w:r>
          </w:p>
          <w:p w14:paraId="0EDBF580" w14:textId="77777777" w:rsidR="00590FDE" w:rsidRDefault="00590FDE" w:rsidP="006565D1">
            <w:pPr>
              <w:jc w:val="center"/>
              <w:rPr>
                <w:sz w:val="20"/>
                <w:szCs w:val="20"/>
              </w:rPr>
            </w:pPr>
            <w:r>
              <w:rPr>
                <w:sz w:val="20"/>
                <w:szCs w:val="20"/>
              </w:rPr>
              <w:t>--</w:t>
            </w:r>
          </w:p>
          <w:p w14:paraId="2765E5D3" w14:textId="77777777" w:rsidR="00590FDE" w:rsidRPr="006E5367" w:rsidRDefault="00590FDE" w:rsidP="006565D1">
            <w:pPr>
              <w:jc w:val="center"/>
              <w:rPr>
                <w:sz w:val="20"/>
                <w:szCs w:val="20"/>
              </w:rPr>
            </w:pPr>
            <w:r>
              <w:rPr>
                <w:sz w:val="20"/>
                <w:szCs w:val="20"/>
              </w:rPr>
              <w:t>--</w:t>
            </w:r>
          </w:p>
        </w:tc>
      </w:tr>
    </w:tbl>
    <w:p w14:paraId="0A1864AF" w14:textId="77777777" w:rsidR="00590FDE" w:rsidRDefault="00590FDE" w:rsidP="00276A92">
      <w:pPr>
        <w:spacing w:after="0" w:line="240" w:lineRule="auto"/>
        <w:jc w:val="center"/>
        <w:rPr>
          <w:b/>
          <w:bCs/>
          <w:sz w:val="28"/>
          <w:szCs w:val="28"/>
        </w:rPr>
      </w:pPr>
    </w:p>
    <w:tbl>
      <w:tblPr>
        <w:tblStyle w:val="TableGrid"/>
        <w:tblW w:w="0" w:type="auto"/>
        <w:jc w:val="center"/>
        <w:tblLook w:val="04A0" w:firstRow="1" w:lastRow="0" w:firstColumn="1" w:lastColumn="0" w:noHBand="0" w:noVBand="1"/>
      </w:tblPr>
      <w:tblGrid>
        <w:gridCol w:w="8455"/>
        <w:gridCol w:w="1000"/>
      </w:tblGrid>
      <w:tr w:rsidR="0071340C" w:rsidRPr="00E17A79" w14:paraId="028D23C8" w14:textId="77777777" w:rsidTr="008A4820">
        <w:trPr>
          <w:jc w:val="center"/>
        </w:trPr>
        <w:tc>
          <w:tcPr>
            <w:tcW w:w="9455" w:type="dxa"/>
            <w:gridSpan w:val="2"/>
            <w:shd w:val="clear" w:color="auto" w:fill="D9D9D9" w:themeFill="background1" w:themeFillShade="D9"/>
          </w:tcPr>
          <w:p w14:paraId="5A1569EA" w14:textId="1B1940F6" w:rsidR="0071340C" w:rsidRPr="00E17A79" w:rsidRDefault="0071340C" w:rsidP="008A4820">
            <w:pPr>
              <w:jc w:val="center"/>
              <w:rPr>
                <w:b/>
                <w:bCs/>
                <w:sz w:val="20"/>
                <w:szCs w:val="20"/>
              </w:rPr>
            </w:pPr>
            <w:r w:rsidRPr="00E17A79">
              <w:rPr>
                <w:b/>
                <w:bCs/>
                <w:sz w:val="20"/>
                <w:szCs w:val="20"/>
              </w:rPr>
              <w:t>Texas Education Code, Section 51.255</w:t>
            </w:r>
            <w:r w:rsidR="008F33F7">
              <w:rPr>
                <w:b/>
                <w:bCs/>
                <w:sz w:val="20"/>
                <w:szCs w:val="20"/>
              </w:rPr>
              <w:t>: Failure to Report or False Reports</w:t>
            </w:r>
          </w:p>
        </w:tc>
      </w:tr>
      <w:tr w:rsidR="0071340C" w:rsidRPr="00E17A79" w14:paraId="1D10CE4F" w14:textId="77777777" w:rsidTr="008A4820">
        <w:trPr>
          <w:jc w:val="center"/>
        </w:trPr>
        <w:tc>
          <w:tcPr>
            <w:tcW w:w="8455" w:type="dxa"/>
            <w:shd w:val="clear" w:color="auto" w:fill="D9D9D9" w:themeFill="background1" w:themeFillShade="D9"/>
          </w:tcPr>
          <w:p w14:paraId="7BA2671A" w14:textId="0EE3831A" w:rsidR="0071340C" w:rsidRPr="00E17A79" w:rsidRDefault="0071340C" w:rsidP="008A4820">
            <w:pPr>
              <w:rPr>
                <w:b/>
                <w:bCs/>
                <w:sz w:val="20"/>
                <w:szCs w:val="20"/>
              </w:rPr>
            </w:pPr>
            <w:r w:rsidRPr="00E17A79">
              <w:rPr>
                <w:b/>
                <w:bCs/>
                <w:sz w:val="20"/>
                <w:szCs w:val="20"/>
              </w:rPr>
              <w:t>Number of reports received that include allegations of an employee’s failure to report or submit</w:t>
            </w:r>
            <w:r w:rsidR="00007F2C">
              <w:rPr>
                <w:b/>
                <w:bCs/>
                <w:sz w:val="20"/>
                <w:szCs w:val="20"/>
              </w:rPr>
              <w:t>ting</w:t>
            </w:r>
            <w:r w:rsidRPr="00E17A79">
              <w:rPr>
                <w:b/>
                <w:bCs/>
                <w:sz w:val="20"/>
                <w:szCs w:val="20"/>
              </w:rPr>
              <w:t xml:space="preserve"> a false report to the institution under Section 51.255(a)</w:t>
            </w:r>
          </w:p>
        </w:tc>
        <w:tc>
          <w:tcPr>
            <w:tcW w:w="1000" w:type="dxa"/>
          </w:tcPr>
          <w:p w14:paraId="205A3A2C" w14:textId="77777777" w:rsidR="0071340C" w:rsidRPr="00E17A79" w:rsidRDefault="0071340C" w:rsidP="008A4820">
            <w:pPr>
              <w:jc w:val="center"/>
              <w:rPr>
                <w:b/>
                <w:bCs/>
                <w:sz w:val="20"/>
                <w:szCs w:val="20"/>
              </w:rPr>
            </w:pPr>
          </w:p>
          <w:p w14:paraId="40767FC7" w14:textId="77777777" w:rsidR="0071340C" w:rsidRPr="00E17A79" w:rsidRDefault="0071340C" w:rsidP="008A4820">
            <w:pPr>
              <w:jc w:val="center"/>
              <w:rPr>
                <w:b/>
                <w:bCs/>
                <w:sz w:val="20"/>
                <w:szCs w:val="20"/>
              </w:rPr>
            </w:pPr>
            <w:r w:rsidRPr="00E17A79">
              <w:rPr>
                <w:b/>
                <w:bCs/>
                <w:sz w:val="20"/>
                <w:szCs w:val="20"/>
              </w:rPr>
              <w:t>1</w:t>
            </w:r>
          </w:p>
        </w:tc>
      </w:tr>
      <w:tr w:rsidR="0071340C" w:rsidRPr="00E17A79" w14:paraId="1588A0F2" w14:textId="77777777" w:rsidTr="008A4820">
        <w:trPr>
          <w:trHeight w:val="143"/>
          <w:jc w:val="center"/>
        </w:trPr>
        <w:tc>
          <w:tcPr>
            <w:tcW w:w="8455" w:type="dxa"/>
            <w:vMerge w:val="restart"/>
            <w:shd w:val="clear" w:color="auto" w:fill="D9D9D9" w:themeFill="background1" w:themeFillShade="D9"/>
          </w:tcPr>
          <w:p w14:paraId="28C77E73" w14:textId="77777777" w:rsidR="0071340C" w:rsidRDefault="0071340C" w:rsidP="008A4820">
            <w:pPr>
              <w:rPr>
                <w:b/>
                <w:bCs/>
                <w:sz w:val="20"/>
                <w:szCs w:val="20"/>
              </w:rPr>
            </w:pPr>
            <w:r w:rsidRPr="005D5362">
              <w:rPr>
                <w:b/>
                <w:bCs/>
                <w:sz w:val="20"/>
                <w:szCs w:val="20"/>
              </w:rPr>
              <w:t xml:space="preserve">Number of investigations conducted </w:t>
            </w:r>
            <w:r>
              <w:rPr>
                <w:b/>
                <w:bCs/>
                <w:sz w:val="20"/>
                <w:szCs w:val="20"/>
              </w:rPr>
              <w:t>regarding</w:t>
            </w:r>
            <w:r w:rsidRPr="005D5362">
              <w:rPr>
                <w:b/>
                <w:bCs/>
                <w:sz w:val="20"/>
                <w:szCs w:val="20"/>
              </w:rPr>
              <w:t xml:space="preserve"> Section 51.25</w:t>
            </w:r>
            <w:r>
              <w:rPr>
                <w:b/>
                <w:bCs/>
                <w:sz w:val="20"/>
                <w:szCs w:val="20"/>
              </w:rPr>
              <w:t>5</w:t>
            </w:r>
          </w:p>
          <w:p w14:paraId="084ABBC7" w14:textId="77777777" w:rsidR="0071340C" w:rsidRDefault="0071340C" w:rsidP="008A4820">
            <w:pPr>
              <w:pStyle w:val="ListParagraph"/>
              <w:numPr>
                <w:ilvl w:val="0"/>
                <w:numId w:val="9"/>
              </w:numPr>
              <w:rPr>
                <w:sz w:val="20"/>
                <w:szCs w:val="20"/>
              </w:rPr>
            </w:pPr>
            <w:r>
              <w:rPr>
                <w:sz w:val="20"/>
                <w:szCs w:val="20"/>
              </w:rPr>
              <w:t>Formal investigation ongoing</w:t>
            </w:r>
          </w:p>
          <w:p w14:paraId="36126509" w14:textId="049E8006" w:rsidR="0071340C" w:rsidRDefault="0071340C" w:rsidP="008A4820">
            <w:pPr>
              <w:pStyle w:val="ListParagraph"/>
              <w:numPr>
                <w:ilvl w:val="0"/>
                <w:numId w:val="9"/>
              </w:numPr>
              <w:rPr>
                <w:sz w:val="20"/>
                <w:szCs w:val="20"/>
              </w:rPr>
            </w:pPr>
            <w:r>
              <w:rPr>
                <w:sz w:val="20"/>
                <w:szCs w:val="20"/>
              </w:rPr>
              <w:t xml:space="preserve">Formal investigation completed </w:t>
            </w:r>
            <w:r w:rsidR="00C639AC">
              <w:rPr>
                <w:sz w:val="20"/>
                <w:szCs w:val="20"/>
              </w:rPr>
              <w:t>(Non-Title IX</w:t>
            </w:r>
            <w:r w:rsidR="003C6B04">
              <w:rPr>
                <w:sz w:val="20"/>
                <w:szCs w:val="20"/>
              </w:rPr>
              <w:t xml:space="preserve"> Regs</w:t>
            </w:r>
            <w:r w:rsidR="00C639AC">
              <w:rPr>
                <w:sz w:val="20"/>
                <w:szCs w:val="20"/>
              </w:rPr>
              <w:t xml:space="preserve">) </w:t>
            </w:r>
            <w:r>
              <w:rPr>
                <w:sz w:val="20"/>
                <w:szCs w:val="20"/>
              </w:rPr>
              <w:t xml:space="preserve">– Preliminary Determination (Preponderance of evidence </w:t>
            </w:r>
            <w:r w:rsidRPr="0071340C">
              <w:rPr>
                <w:sz w:val="20"/>
                <w:szCs w:val="20"/>
                <w:u w:val="single"/>
              </w:rPr>
              <w:t>not</w:t>
            </w:r>
            <w:r>
              <w:rPr>
                <w:sz w:val="20"/>
                <w:szCs w:val="20"/>
              </w:rPr>
              <w:t xml:space="preserve"> met)</w:t>
            </w:r>
            <w:r w:rsidR="00151611">
              <w:rPr>
                <w:sz w:val="20"/>
                <w:szCs w:val="20"/>
              </w:rPr>
              <w:t xml:space="preserve"> and no disciplinary </w:t>
            </w:r>
            <w:proofErr w:type="gramStart"/>
            <w:r w:rsidR="00151611">
              <w:rPr>
                <w:sz w:val="20"/>
                <w:szCs w:val="20"/>
              </w:rPr>
              <w:t>referral</w:t>
            </w:r>
            <w:proofErr w:type="gramEnd"/>
          </w:p>
          <w:p w14:paraId="7ABAD665" w14:textId="25BB7AA4" w:rsidR="0071340C" w:rsidRPr="006536A8" w:rsidRDefault="0071340C" w:rsidP="008A4820">
            <w:pPr>
              <w:pStyle w:val="ListParagraph"/>
              <w:numPr>
                <w:ilvl w:val="0"/>
                <w:numId w:val="9"/>
              </w:numPr>
              <w:rPr>
                <w:sz w:val="20"/>
                <w:szCs w:val="20"/>
              </w:rPr>
            </w:pPr>
            <w:r>
              <w:rPr>
                <w:sz w:val="20"/>
                <w:szCs w:val="20"/>
              </w:rPr>
              <w:t xml:space="preserve">Formal investigation completed </w:t>
            </w:r>
            <w:r w:rsidR="00C639AC">
              <w:rPr>
                <w:sz w:val="20"/>
                <w:szCs w:val="20"/>
              </w:rPr>
              <w:t>(Non-Title IX</w:t>
            </w:r>
            <w:r w:rsidR="003C6B04">
              <w:rPr>
                <w:sz w:val="20"/>
                <w:szCs w:val="20"/>
              </w:rPr>
              <w:t xml:space="preserve"> Regs</w:t>
            </w:r>
            <w:r w:rsidR="00C639AC">
              <w:rPr>
                <w:sz w:val="20"/>
                <w:szCs w:val="20"/>
              </w:rPr>
              <w:t xml:space="preserve">) </w:t>
            </w:r>
            <w:r>
              <w:rPr>
                <w:sz w:val="20"/>
                <w:szCs w:val="20"/>
              </w:rPr>
              <w:t>– Preliminary Determination (Preponderance of evidence met) and referred to a disciplinary process</w:t>
            </w:r>
          </w:p>
        </w:tc>
        <w:tc>
          <w:tcPr>
            <w:tcW w:w="1000" w:type="dxa"/>
          </w:tcPr>
          <w:p w14:paraId="6CBFCF82" w14:textId="77777777" w:rsidR="0071340C" w:rsidRPr="00E17A79" w:rsidRDefault="0071340C" w:rsidP="008A4820">
            <w:pPr>
              <w:jc w:val="center"/>
              <w:rPr>
                <w:b/>
                <w:bCs/>
                <w:sz w:val="20"/>
                <w:szCs w:val="20"/>
              </w:rPr>
            </w:pPr>
            <w:r>
              <w:rPr>
                <w:b/>
                <w:bCs/>
                <w:sz w:val="20"/>
                <w:szCs w:val="20"/>
              </w:rPr>
              <w:t>1</w:t>
            </w:r>
          </w:p>
        </w:tc>
      </w:tr>
      <w:tr w:rsidR="0071340C" w:rsidRPr="00E17A79" w14:paraId="58DA9817" w14:textId="77777777" w:rsidTr="008A4820">
        <w:trPr>
          <w:trHeight w:val="852"/>
          <w:jc w:val="center"/>
        </w:trPr>
        <w:tc>
          <w:tcPr>
            <w:tcW w:w="8455" w:type="dxa"/>
            <w:vMerge/>
            <w:shd w:val="clear" w:color="auto" w:fill="D9D9D9" w:themeFill="background1" w:themeFillShade="D9"/>
          </w:tcPr>
          <w:p w14:paraId="35931AFD" w14:textId="77777777" w:rsidR="0071340C" w:rsidRPr="005D5362" w:rsidRDefault="0071340C" w:rsidP="008A4820">
            <w:pPr>
              <w:rPr>
                <w:b/>
                <w:bCs/>
                <w:sz w:val="20"/>
                <w:szCs w:val="20"/>
              </w:rPr>
            </w:pPr>
          </w:p>
        </w:tc>
        <w:tc>
          <w:tcPr>
            <w:tcW w:w="1000" w:type="dxa"/>
          </w:tcPr>
          <w:p w14:paraId="677F22CA" w14:textId="57613720" w:rsidR="0071340C" w:rsidRDefault="00B6640E" w:rsidP="00F803B0">
            <w:pPr>
              <w:jc w:val="center"/>
              <w:rPr>
                <w:sz w:val="20"/>
                <w:szCs w:val="20"/>
              </w:rPr>
            </w:pPr>
            <w:r>
              <w:rPr>
                <w:sz w:val="20"/>
                <w:szCs w:val="20"/>
              </w:rPr>
              <w:t>--</w:t>
            </w:r>
          </w:p>
          <w:p w14:paraId="620DDA49" w14:textId="2D164CBD" w:rsidR="0071340C" w:rsidRDefault="0071340C" w:rsidP="00B6640E">
            <w:pPr>
              <w:jc w:val="center"/>
              <w:rPr>
                <w:sz w:val="20"/>
                <w:szCs w:val="20"/>
              </w:rPr>
            </w:pPr>
            <w:r>
              <w:rPr>
                <w:sz w:val="20"/>
                <w:szCs w:val="20"/>
              </w:rPr>
              <w:t>1</w:t>
            </w:r>
          </w:p>
          <w:p w14:paraId="6D932AE7" w14:textId="77777777" w:rsidR="00F803B0" w:rsidRDefault="00F803B0" w:rsidP="008A4820">
            <w:pPr>
              <w:jc w:val="center"/>
              <w:rPr>
                <w:sz w:val="20"/>
                <w:szCs w:val="20"/>
              </w:rPr>
            </w:pPr>
          </w:p>
          <w:p w14:paraId="487C050D" w14:textId="27B533DB" w:rsidR="0071340C" w:rsidRPr="006C4A66" w:rsidRDefault="00B6640E" w:rsidP="008A4820">
            <w:pPr>
              <w:jc w:val="center"/>
              <w:rPr>
                <w:sz w:val="20"/>
                <w:szCs w:val="20"/>
              </w:rPr>
            </w:pPr>
            <w:r>
              <w:rPr>
                <w:sz w:val="20"/>
                <w:szCs w:val="20"/>
              </w:rPr>
              <w:t>--</w:t>
            </w:r>
          </w:p>
        </w:tc>
      </w:tr>
      <w:tr w:rsidR="0071340C" w:rsidRPr="00E17A79" w14:paraId="6A5D09EC" w14:textId="77777777" w:rsidTr="008A4820">
        <w:trPr>
          <w:trHeight w:val="467"/>
          <w:jc w:val="center"/>
        </w:trPr>
        <w:tc>
          <w:tcPr>
            <w:tcW w:w="8455" w:type="dxa"/>
            <w:vMerge w:val="restart"/>
            <w:shd w:val="clear" w:color="auto" w:fill="D9D9D9" w:themeFill="background1" w:themeFillShade="D9"/>
          </w:tcPr>
          <w:p w14:paraId="5509986D" w14:textId="77777777" w:rsidR="0071340C" w:rsidRPr="00E17A79" w:rsidRDefault="0071340C" w:rsidP="008A4820">
            <w:pPr>
              <w:rPr>
                <w:rFonts w:cstheme="minorHAnsi"/>
                <w:sz w:val="20"/>
                <w:szCs w:val="20"/>
              </w:rPr>
            </w:pPr>
            <w:r w:rsidRPr="006C4A66">
              <w:rPr>
                <w:b/>
                <w:bCs/>
                <w:sz w:val="20"/>
                <w:szCs w:val="20"/>
              </w:rPr>
              <w:t xml:space="preserve">Any disciplinary action taken, regarding failure to report or false reports to the institution under Section </w:t>
            </w:r>
            <w:r w:rsidRPr="006C4A66">
              <w:rPr>
                <w:rFonts w:cstheme="minorHAnsi"/>
                <w:b/>
                <w:bCs/>
                <w:sz w:val="20"/>
                <w:szCs w:val="20"/>
              </w:rPr>
              <w:t>51.255(c</w:t>
            </w:r>
            <w:r w:rsidRPr="00E17A79">
              <w:rPr>
                <w:rFonts w:cstheme="minorHAnsi"/>
                <w:b/>
                <w:bCs/>
                <w:sz w:val="20"/>
                <w:szCs w:val="20"/>
              </w:rPr>
              <w:t>)</w:t>
            </w:r>
            <w:r w:rsidRPr="00E17A79">
              <w:rPr>
                <w:rFonts w:cstheme="minorHAnsi"/>
                <w:sz w:val="20"/>
                <w:szCs w:val="20"/>
              </w:rPr>
              <w:t>:</w:t>
            </w:r>
          </w:p>
          <w:p w14:paraId="6C2960EA" w14:textId="77777777" w:rsidR="0071340C" w:rsidRPr="00E17A79" w:rsidRDefault="0071340C" w:rsidP="003B07B6">
            <w:pPr>
              <w:pStyle w:val="ListParagraph"/>
              <w:numPr>
                <w:ilvl w:val="0"/>
                <w:numId w:val="4"/>
              </w:numPr>
              <w:ind w:left="702"/>
              <w:rPr>
                <w:sz w:val="20"/>
                <w:szCs w:val="20"/>
              </w:rPr>
            </w:pPr>
            <w:r w:rsidRPr="00E17A79">
              <w:rPr>
                <w:sz w:val="20"/>
                <w:szCs w:val="20"/>
              </w:rPr>
              <w:t>Employee termination</w:t>
            </w:r>
          </w:p>
          <w:p w14:paraId="0A77F09D" w14:textId="77777777" w:rsidR="0071340C" w:rsidRDefault="0071340C" w:rsidP="003B07B6">
            <w:pPr>
              <w:pStyle w:val="ListParagraph"/>
              <w:numPr>
                <w:ilvl w:val="0"/>
                <w:numId w:val="4"/>
              </w:numPr>
              <w:ind w:left="702"/>
              <w:rPr>
                <w:sz w:val="20"/>
                <w:szCs w:val="20"/>
              </w:rPr>
            </w:pPr>
            <w:r w:rsidRPr="00E17A79">
              <w:rPr>
                <w:sz w:val="20"/>
                <w:szCs w:val="20"/>
              </w:rPr>
              <w:t>Institutional intent to termination, in lieu of employee resignation</w:t>
            </w:r>
            <w:r>
              <w:rPr>
                <w:sz w:val="20"/>
                <w:szCs w:val="20"/>
              </w:rPr>
              <w:t xml:space="preserve"> during disciplinary process</w:t>
            </w:r>
          </w:p>
          <w:p w14:paraId="36567766" w14:textId="4746C755" w:rsidR="00C639AC" w:rsidRPr="00560378" w:rsidRDefault="0071340C" w:rsidP="00FB2385">
            <w:pPr>
              <w:pStyle w:val="ListParagraph"/>
              <w:numPr>
                <w:ilvl w:val="0"/>
                <w:numId w:val="4"/>
              </w:numPr>
              <w:ind w:left="702"/>
              <w:rPr>
                <w:b/>
                <w:bCs/>
                <w:sz w:val="20"/>
                <w:szCs w:val="20"/>
              </w:rPr>
            </w:pPr>
            <w:r>
              <w:rPr>
                <w:sz w:val="20"/>
                <w:szCs w:val="20"/>
              </w:rPr>
              <w:t>Employee not eligible for re-hire, in lieu of employee resignation prior to investigation</w:t>
            </w:r>
          </w:p>
        </w:tc>
        <w:tc>
          <w:tcPr>
            <w:tcW w:w="1000" w:type="dxa"/>
          </w:tcPr>
          <w:p w14:paraId="5AC3A125" w14:textId="77777777" w:rsidR="00A50377" w:rsidRDefault="00A50377" w:rsidP="008A4820">
            <w:pPr>
              <w:jc w:val="center"/>
              <w:rPr>
                <w:sz w:val="20"/>
                <w:szCs w:val="20"/>
              </w:rPr>
            </w:pPr>
          </w:p>
          <w:p w14:paraId="2E2F5F05" w14:textId="17BA2254" w:rsidR="0071340C" w:rsidRPr="00E17A79" w:rsidRDefault="002E476A" w:rsidP="008A4820">
            <w:pPr>
              <w:jc w:val="center"/>
              <w:rPr>
                <w:sz w:val="20"/>
                <w:szCs w:val="20"/>
              </w:rPr>
            </w:pPr>
            <w:r>
              <w:rPr>
                <w:sz w:val="20"/>
                <w:szCs w:val="20"/>
              </w:rPr>
              <w:t>--</w:t>
            </w:r>
          </w:p>
        </w:tc>
      </w:tr>
      <w:tr w:rsidR="0071340C" w:rsidRPr="00E17A79" w14:paraId="473A8DE8" w14:textId="77777777" w:rsidTr="008A4820">
        <w:trPr>
          <w:trHeight w:val="612"/>
          <w:jc w:val="center"/>
        </w:trPr>
        <w:tc>
          <w:tcPr>
            <w:tcW w:w="8455" w:type="dxa"/>
            <w:vMerge/>
            <w:shd w:val="clear" w:color="auto" w:fill="D9D9D9" w:themeFill="background1" w:themeFillShade="D9"/>
          </w:tcPr>
          <w:p w14:paraId="0E528B0A" w14:textId="77777777" w:rsidR="0071340C" w:rsidRPr="006C4A66" w:rsidRDefault="0071340C" w:rsidP="008A4820">
            <w:pPr>
              <w:rPr>
                <w:b/>
                <w:bCs/>
                <w:sz w:val="20"/>
                <w:szCs w:val="20"/>
              </w:rPr>
            </w:pPr>
          </w:p>
        </w:tc>
        <w:tc>
          <w:tcPr>
            <w:tcW w:w="1000" w:type="dxa"/>
          </w:tcPr>
          <w:p w14:paraId="0FACAC1E" w14:textId="77777777" w:rsidR="0071340C" w:rsidRPr="00E17A79" w:rsidRDefault="0071340C" w:rsidP="008A4820">
            <w:pPr>
              <w:jc w:val="center"/>
              <w:rPr>
                <w:sz w:val="20"/>
                <w:szCs w:val="20"/>
              </w:rPr>
            </w:pPr>
            <w:r w:rsidRPr="00E17A79">
              <w:rPr>
                <w:sz w:val="20"/>
                <w:szCs w:val="20"/>
              </w:rPr>
              <w:t>--</w:t>
            </w:r>
          </w:p>
          <w:p w14:paraId="6E53B830" w14:textId="77777777" w:rsidR="0071340C" w:rsidRDefault="0071340C" w:rsidP="008A4820">
            <w:pPr>
              <w:jc w:val="center"/>
              <w:rPr>
                <w:sz w:val="20"/>
                <w:szCs w:val="20"/>
              </w:rPr>
            </w:pPr>
            <w:r w:rsidRPr="00E17A79">
              <w:rPr>
                <w:sz w:val="20"/>
                <w:szCs w:val="20"/>
              </w:rPr>
              <w:t>--</w:t>
            </w:r>
          </w:p>
          <w:p w14:paraId="1CCDF99C" w14:textId="77777777" w:rsidR="0071340C" w:rsidRDefault="0071340C" w:rsidP="008A4820">
            <w:pPr>
              <w:jc w:val="center"/>
              <w:rPr>
                <w:sz w:val="20"/>
                <w:szCs w:val="20"/>
              </w:rPr>
            </w:pPr>
          </w:p>
          <w:p w14:paraId="24ED8601" w14:textId="77777777" w:rsidR="0071340C" w:rsidRPr="00E17A79" w:rsidRDefault="0071340C" w:rsidP="008A4820">
            <w:pPr>
              <w:jc w:val="center"/>
              <w:rPr>
                <w:sz w:val="20"/>
                <w:szCs w:val="20"/>
              </w:rPr>
            </w:pPr>
            <w:r w:rsidRPr="00E17A79">
              <w:rPr>
                <w:sz w:val="20"/>
                <w:szCs w:val="20"/>
              </w:rPr>
              <w:t>--</w:t>
            </w:r>
          </w:p>
        </w:tc>
      </w:tr>
    </w:tbl>
    <w:p w14:paraId="2C62EA4E" w14:textId="77777777" w:rsidR="0071340C" w:rsidRDefault="0071340C" w:rsidP="0071340C">
      <w:pPr>
        <w:spacing w:after="0"/>
      </w:pPr>
    </w:p>
    <w:p w14:paraId="1A451569" w14:textId="77777777" w:rsidR="0071340C" w:rsidRDefault="0071340C">
      <w:pPr>
        <w:rPr>
          <w:b/>
          <w:bCs/>
          <w:sz w:val="28"/>
          <w:szCs w:val="28"/>
        </w:rPr>
      </w:pPr>
      <w:r>
        <w:rPr>
          <w:b/>
          <w:bCs/>
          <w:sz w:val="28"/>
          <w:szCs w:val="28"/>
        </w:rPr>
        <w:br w:type="page"/>
      </w:r>
    </w:p>
    <w:p w14:paraId="796F040A" w14:textId="7BBC7262" w:rsidR="003757CE" w:rsidRDefault="003757CE" w:rsidP="003B07B6">
      <w:pPr>
        <w:spacing w:after="0" w:line="240" w:lineRule="auto"/>
        <w:jc w:val="center"/>
        <w:rPr>
          <w:b/>
          <w:bCs/>
          <w:sz w:val="28"/>
          <w:szCs w:val="28"/>
        </w:rPr>
      </w:pPr>
      <w:r>
        <w:rPr>
          <w:b/>
          <w:bCs/>
          <w:sz w:val="28"/>
          <w:szCs w:val="28"/>
        </w:rPr>
        <w:lastRenderedPageBreak/>
        <w:t xml:space="preserve">Appendix </w:t>
      </w:r>
      <w:r w:rsidR="0071340C">
        <w:rPr>
          <w:b/>
          <w:bCs/>
          <w:sz w:val="28"/>
          <w:szCs w:val="28"/>
        </w:rPr>
        <w:t>B</w:t>
      </w:r>
    </w:p>
    <w:p w14:paraId="61CADC8A" w14:textId="26BBE7AD" w:rsidR="00FC3028" w:rsidRDefault="00D855F5" w:rsidP="003B07B6">
      <w:pPr>
        <w:spacing w:after="0" w:line="240" w:lineRule="auto"/>
        <w:jc w:val="center"/>
        <w:rPr>
          <w:b/>
          <w:bCs/>
          <w:sz w:val="28"/>
          <w:szCs w:val="28"/>
        </w:rPr>
      </w:pPr>
      <w:r>
        <w:rPr>
          <w:b/>
          <w:bCs/>
          <w:sz w:val="28"/>
          <w:szCs w:val="28"/>
        </w:rPr>
        <w:t>202</w:t>
      </w:r>
      <w:r w:rsidR="009F213A">
        <w:rPr>
          <w:b/>
          <w:bCs/>
          <w:sz w:val="28"/>
          <w:szCs w:val="28"/>
        </w:rPr>
        <w:t>2</w:t>
      </w:r>
      <w:r>
        <w:rPr>
          <w:b/>
          <w:bCs/>
          <w:sz w:val="28"/>
          <w:szCs w:val="28"/>
        </w:rPr>
        <w:t xml:space="preserve"> </w:t>
      </w:r>
      <w:r w:rsidR="008B7A11">
        <w:rPr>
          <w:b/>
          <w:bCs/>
          <w:sz w:val="28"/>
          <w:szCs w:val="28"/>
        </w:rPr>
        <w:t>CEO Report</w:t>
      </w:r>
      <w:r w:rsidR="0071340C">
        <w:rPr>
          <w:b/>
          <w:bCs/>
          <w:sz w:val="28"/>
          <w:szCs w:val="28"/>
        </w:rPr>
        <w:t xml:space="preserve"> Updates</w:t>
      </w:r>
      <w:r w:rsidR="001B0C9C">
        <w:rPr>
          <w:rStyle w:val="FootnoteReference"/>
          <w:b/>
          <w:bCs/>
          <w:sz w:val="28"/>
          <w:szCs w:val="28"/>
        </w:rPr>
        <w:footnoteReference w:id="5"/>
      </w:r>
    </w:p>
    <w:p w14:paraId="07049FBB" w14:textId="6DB13E7B" w:rsidR="00C36512" w:rsidRDefault="009F213A" w:rsidP="003B07B6">
      <w:pPr>
        <w:spacing w:after="0" w:line="240" w:lineRule="auto"/>
        <w:jc w:val="center"/>
        <w:rPr>
          <w:b/>
          <w:bCs/>
          <w:sz w:val="28"/>
          <w:szCs w:val="28"/>
        </w:rPr>
      </w:pPr>
      <w:r>
        <w:rPr>
          <w:b/>
          <w:bCs/>
          <w:sz w:val="28"/>
          <w:szCs w:val="28"/>
        </w:rPr>
        <w:t>2021-2022</w:t>
      </w:r>
      <w:r w:rsidR="00C36512" w:rsidRPr="00E509D3">
        <w:rPr>
          <w:b/>
          <w:bCs/>
          <w:sz w:val="28"/>
          <w:szCs w:val="28"/>
        </w:rPr>
        <w:t xml:space="preserve"> Academic Year</w:t>
      </w:r>
      <w:r w:rsidR="001A1346">
        <w:rPr>
          <w:b/>
          <w:bCs/>
          <w:sz w:val="28"/>
          <w:szCs w:val="28"/>
        </w:rPr>
        <w:t>:</w:t>
      </w:r>
      <w:r w:rsidR="00E06794">
        <w:rPr>
          <w:b/>
          <w:bCs/>
          <w:sz w:val="28"/>
          <w:szCs w:val="28"/>
        </w:rPr>
        <w:t xml:space="preserve"> </w:t>
      </w:r>
      <w:r w:rsidR="007F0263">
        <w:rPr>
          <w:b/>
          <w:bCs/>
          <w:sz w:val="28"/>
          <w:szCs w:val="28"/>
        </w:rPr>
        <w:t xml:space="preserve">August </w:t>
      </w:r>
      <w:r w:rsidR="00590FDE">
        <w:rPr>
          <w:b/>
          <w:bCs/>
          <w:sz w:val="28"/>
          <w:szCs w:val="28"/>
        </w:rPr>
        <w:t>23</w:t>
      </w:r>
      <w:r w:rsidR="00E06794">
        <w:rPr>
          <w:b/>
          <w:bCs/>
          <w:sz w:val="28"/>
          <w:szCs w:val="28"/>
        </w:rPr>
        <w:t>, 202</w:t>
      </w:r>
      <w:r>
        <w:rPr>
          <w:b/>
          <w:bCs/>
          <w:sz w:val="28"/>
          <w:szCs w:val="28"/>
        </w:rPr>
        <w:t>1</w:t>
      </w:r>
      <w:r w:rsidR="001A1346">
        <w:rPr>
          <w:b/>
          <w:bCs/>
          <w:sz w:val="28"/>
          <w:szCs w:val="28"/>
        </w:rPr>
        <w:t xml:space="preserve"> – August </w:t>
      </w:r>
      <w:r w:rsidR="00590FDE">
        <w:rPr>
          <w:b/>
          <w:bCs/>
          <w:sz w:val="28"/>
          <w:szCs w:val="28"/>
        </w:rPr>
        <w:t>28</w:t>
      </w:r>
      <w:r w:rsidR="001A1346">
        <w:rPr>
          <w:b/>
          <w:bCs/>
          <w:sz w:val="28"/>
          <w:szCs w:val="28"/>
        </w:rPr>
        <w:t>, 202</w:t>
      </w:r>
      <w:r>
        <w:rPr>
          <w:b/>
          <w:bCs/>
          <w:sz w:val="28"/>
          <w:szCs w:val="28"/>
        </w:rPr>
        <w:t>2</w:t>
      </w:r>
    </w:p>
    <w:p w14:paraId="3153E438" w14:textId="77777777" w:rsidR="00537B0F" w:rsidRPr="002F461F" w:rsidRDefault="00537B0F" w:rsidP="00537B0F">
      <w:pPr>
        <w:spacing w:after="0"/>
        <w:rPr>
          <w:sz w:val="20"/>
          <w:szCs w:val="20"/>
        </w:rPr>
      </w:pPr>
    </w:p>
    <w:tbl>
      <w:tblPr>
        <w:tblStyle w:val="TableGrid"/>
        <w:tblW w:w="0" w:type="auto"/>
        <w:jc w:val="center"/>
        <w:tblLook w:val="04A0" w:firstRow="1" w:lastRow="0" w:firstColumn="1" w:lastColumn="0" w:noHBand="0" w:noVBand="1"/>
      </w:tblPr>
      <w:tblGrid>
        <w:gridCol w:w="8460"/>
        <w:gridCol w:w="985"/>
      </w:tblGrid>
      <w:tr w:rsidR="00590FDE" w:rsidRPr="00E17A79" w14:paraId="59E46552" w14:textId="77777777" w:rsidTr="006565D1">
        <w:trPr>
          <w:trHeight w:val="107"/>
          <w:jc w:val="center"/>
        </w:trPr>
        <w:tc>
          <w:tcPr>
            <w:tcW w:w="9445" w:type="dxa"/>
            <w:gridSpan w:val="2"/>
            <w:shd w:val="clear" w:color="auto" w:fill="D9D9D9" w:themeFill="background1" w:themeFillShade="D9"/>
          </w:tcPr>
          <w:p w14:paraId="09A6AA6A" w14:textId="77777777" w:rsidR="00590FDE" w:rsidRPr="00E17A79" w:rsidRDefault="00590FDE" w:rsidP="006565D1">
            <w:pPr>
              <w:jc w:val="center"/>
              <w:rPr>
                <w:b/>
                <w:bCs/>
                <w:sz w:val="20"/>
                <w:szCs w:val="20"/>
              </w:rPr>
            </w:pPr>
            <w:r w:rsidRPr="00E17A79">
              <w:rPr>
                <w:b/>
                <w:bCs/>
                <w:sz w:val="20"/>
                <w:szCs w:val="20"/>
              </w:rPr>
              <w:t>Texas Education Code, Section 51.252</w:t>
            </w:r>
            <w:r>
              <w:rPr>
                <w:b/>
                <w:bCs/>
                <w:sz w:val="20"/>
                <w:szCs w:val="20"/>
              </w:rPr>
              <w:t>: Employee Reporting Requirements</w:t>
            </w:r>
          </w:p>
        </w:tc>
      </w:tr>
      <w:tr w:rsidR="00590FDE" w:rsidRPr="00E17A79" w14:paraId="66C0FEA5" w14:textId="77777777" w:rsidTr="006565D1">
        <w:trPr>
          <w:trHeight w:val="170"/>
          <w:jc w:val="center"/>
        </w:trPr>
        <w:tc>
          <w:tcPr>
            <w:tcW w:w="8460" w:type="dxa"/>
            <w:vMerge w:val="restart"/>
            <w:shd w:val="clear" w:color="auto" w:fill="D9D9D9" w:themeFill="background1" w:themeFillShade="D9"/>
          </w:tcPr>
          <w:p w14:paraId="2A0FD933" w14:textId="43B6F6D6" w:rsidR="00590FDE" w:rsidRPr="00E17A79" w:rsidRDefault="00590FDE" w:rsidP="006565D1">
            <w:pPr>
              <w:rPr>
                <w:rFonts w:cstheme="minorHAnsi"/>
                <w:b/>
                <w:bCs/>
                <w:sz w:val="20"/>
                <w:szCs w:val="20"/>
              </w:rPr>
            </w:pPr>
            <w:r w:rsidRPr="00E17A79">
              <w:rPr>
                <w:b/>
                <w:bCs/>
                <w:sz w:val="20"/>
                <w:szCs w:val="20"/>
              </w:rPr>
              <w:t xml:space="preserve">Number of reports received under Section </w:t>
            </w:r>
            <w:r w:rsidRPr="00E17A79">
              <w:rPr>
                <w:rFonts w:cstheme="minorHAnsi"/>
                <w:b/>
                <w:bCs/>
                <w:sz w:val="20"/>
                <w:szCs w:val="20"/>
              </w:rPr>
              <w:t>51.252</w:t>
            </w:r>
          </w:p>
          <w:p w14:paraId="3D0C4E46" w14:textId="77777777" w:rsidR="00590FDE" w:rsidRPr="004F42EC" w:rsidRDefault="00590FDE" w:rsidP="00560378">
            <w:pPr>
              <w:pStyle w:val="ListParagraph"/>
              <w:numPr>
                <w:ilvl w:val="0"/>
                <w:numId w:val="23"/>
              </w:numPr>
              <w:rPr>
                <w:sz w:val="20"/>
                <w:szCs w:val="20"/>
              </w:rPr>
            </w:pPr>
            <w:r>
              <w:rPr>
                <w:sz w:val="20"/>
                <w:szCs w:val="20"/>
              </w:rPr>
              <w:t xml:space="preserve">Employee submitted reports under Section 51.252 </w:t>
            </w:r>
          </w:p>
          <w:p w14:paraId="1C23979E" w14:textId="6C87B737" w:rsidR="00590FDE" w:rsidRPr="004F42EC" w:rsidRDefault="00590FDE" w:rsidP="00560378">
            <w:pPr>
              <w:pStyle w:val="ListParagraph"/>
              <w:numPr>
                <w:ilvl w:val="0"/>
                <w:numId w:val="23"/>
              </w:numPr>
              <w:rPr>
                <w:sz w:val="20"/>
                <w:szCs w:val="20"/>
              </w:rPr>
            </w:pPr>
            <w:r>
              <w:rPr>
                <w:sz w:val="20"/>
                <w:szCs w:val="20"/>
              </w:rPr>
              <w:t>C</w:t>
            </w:r>
            <w:r w:rsidRPr="004F42EC">
              <w:rPr>
                <w:sz w:val="20"/>
                <w:szCs w:val="20"/>
              </w:rPr>
              <w:t>onfidential reports</w:t>
            </w:r>
            <w:r w:rsidR="00FB2385">
              <w:rPr>
                <w:sz w:val="20"/>
                <w:szCs w:val="20"/>
              </w:rPr>
              <w:t xml:space="preserve"> </w:t>
            </w:r>
            <w:r w:rsidRPr="004F42EC">
              <w:rPr>
                <w:sz w:val="20"/>
                <w:szCs w:val="20"/>
              </w:rPr>
              <w:t xml:space="preserve">under Section 51.252 </w:t>
            </w:r>
          </w:p>
        </w:tc>
        <w:tc>
          <w:tcPr>
            <w:tcW w:w="985" w:type="dxa"/>
          </w:tcPr>
          <w:p w14:paraId="1C7C471E" w14:textId="77777777" w:rsidR="00590FDE" w:rsidRPr="004F42EC" w:rsidRDefault="00590FDE" w:rsidP="006565D1">
            <w:pPr>
              <w:jc w:val="center"/>
              <w:rPr>
                <w:b/>
                <w:bCs/>
                <w:sz w:val="20"/>
                <w:szCs w:val="20"/>
              </w:rPr>
            </w:pPr>
            <w:r>
              <w:rPr>
                <w:b/>
                <w:bCs/>
                <w:sz w:val="20"/>
                <w:szCs w:val="20"/>
              </w:rPr>
              <w:t>47</w:t>
            </w:r>
          </w:p>
        </w:tc>
      </w:tr>
      <w:tr w:rsidR="00590FDE" w:rsidRPr="00E17A79" w14:paraId="76831758" w14:textId="77777777" w:rsidTr="006565D1">
        <w:trPr>
          <w:trHeight w:val="366"/>
          <w:jc w:val="center"/>
        </w:trPr>
        <w:tc>
          <w:tcPr>
            <w:tcW w:w="8460" w:type="dxa"/>
            <w:vMerge/>
            <w:shd w:val="clear" w:color="auto" w:fill="D9D9D9" w:themeFill="background1" w:themeFillShade="D9"/>
          </w:tcPr>
          <w:p w14:paraId="14F5FB5A" w14:textId="77777777" w:rsidR="00590FDE" w:rsidRPr="00E17A79" w:rsidRDefault="00590FDE" w:rsidP="006565D1">
            <w:pPr>
              <w:rPr>
                <w:b/>
                <w:bCs/>
                <w:sz w:val="20"/>
                <w:szCs w:val="20"/>
              </w:rPr>
            </w:pPr>
          </w:p>
        </w:tc>
        <w:tc>
          <w:tcPr>
            <w:tcW w:w="985" w:type="dxa"/>
          </w:tcPr>
          <w:p w14:paraId="3BB86564" w14:textId="77777777" w:rsidR="00590FDE" w:rsidRDefault="00590FDE" w:rsidP="006565D1">
            <w:pPr>
              <w:jc w:val="center"/>
              <w:rPr>
                <w:sz w:val="20"/>
                <w:szCs w:val="20"/>
              </w:rPr>
            </w:pPr>
            <w:r>
              <w:rPr>
                <w:sz w:val="20"/>
                <w:szCs w:val="20"/>
              </w:rPr>
              <w:t>23</w:t>
            </w:r>
          </w:p>
          <w:p w14:paraId="2C1681EC" w14:textId="77777777" w:rsidR="00590FDE" w:rsidRPr="004F42EC" w:rsidRDefault="00590FDE" w:rsidP="006565D1">
            <w:pPr>
              <w:jc w:val="center"/>
              <w:rPr>
                <w:sz w:val="20"/>
                <w:szCs w:val="20"/>
              </w:rPr>
            </w:pPr>
            <w:r>
              <w:rPr>
                <w:sz w:val="20"/>
                <w:szCs w:val="20"/>
              </w:rPr>
              <w:t>24</w:t>
            </w:r>
          </w:p>
        </w:tc>
      </w:tr>
      <w:tr w:rsidR="00590FDE" w:rsidRPr="00E17A79" w14:paraId="7C347B86" w14:textId="77777777" w:rsidTr="006565D1">
        <w:trPr>
          <w:trHeight w:val="224"/>
          <w:jc w:val="center"/>
        </w:trPr>
        <w:tc>
          <w:tcPr>
            <w:tcW w:w="8460" w:type="dxa"/>
            <w:vMerge w:val="restart"/>
            <w:shd w:val="clear" w:color="auto" w:fill="D9D9D9" w:themeFill="background1" w:themeFillShade="D9"/>
          </w:tcPr>
          <w:p w14:paraId="1E23784B" w14:textId="77777777" w:rsidR="00590FDE" w:rsidRDefault="00590FDE" w:rsidP="006565D1">
            <w:pPr>
              <w:rPr>
                <w:b/>
                <w:bCs/>
                <w:sz w:val="20"/>
                <w:szCs w:val="20"/>
              </w:rPr>
            </w:pPr>
            <w:r w:rsidRPr="005D5362">
              <w:rPr>
                <w:b/>
                <w:bCs/>
                <w:sz w:val="20"/>
                <w:szCs w:val="20"/>
              </w:rPr>
              <w:t>Number of investigations conducted under Section 51.252</w:t>
            </w:r>
          </w:p>
          <w:p w14:paraId="51CA8952" w14:textId="77777777" w:rsidR="00590FDE" w:rsidRDefault="00590FDE" w:rsidP="00560378">
            <w:pPr>
              <w:pStyle w:val="ListParagraph"/>
              <w:numPr>
                <w:ilvl w:val="0"/>
                <w:numId w:val="24"/>
              </w:numPr>
              <w:rPr>
                <w:sz w:val="20"/>
                <w:szCs w:val="20"/>
              </w:rPr>
            </w:pPr>
            <w:r>
              <w:rPr>
                <w:sz w:val="20"/>
                <w:szCs w:val="20"/>
              </w:rPr>
              <w:t>Formal investigation ongoing</w:t>
            </w:r>
          </w:p>
          <w:p w14:paraId="6202F1D8" w14:textId="77777777" w:rsidR="00590FDE" w:rsidRDefault="00590FDE" w:rsidP="00560378">
            <w:pPr>
              <w:pStyle w:val="ListParagraph"/>
              <w:numPr>
                <w:ilvl w:val="0"/>
                <w:numId w:val="24"/>
              </w:numPr>
              <w:rPr>
                <w:sz w:val="20"/>
                <w:szCs w:val="20"/>
              </w:rPr>
            </w:pPr>
            <w:r>
              <w:rPr>
                <w:sz w:val="20"/>
                <w:szCs w:val="20"/>
              </w:rPr>
              <w:t xml:space="preserve">Formal investigation completed (Non-Title IX) – Preliminary Determination (Preponderance of evidence </w:t>
            </w:r>
            <w:r w:rsidRPr="0071340C">
              <w:rPr>
                <w:sz w:val="20"/>
                <w:szCs w:val="20"/>
                <w:u w:val="single"/>
              </w:rPr>
              <w:t>not</w:t>
            </w:r>
            <w:r>
              <w:rPr>
                <w:sz w:val="20"/>
                <w:szCs w:val="20"/>
              </w:rPr>
              <w:t xml:space="preserve"> met) and no disciplinary </w:t>
            </w:r>
            <w:proofErr w:type="gramStart"/>
            <w:r>
              <w:rPr>
                <w:sz w:val="20"/>
                <w:szCs w:val="20"/>
              </w:rPr>
              <w:t>referral</w:t>
            </w:r>
            <w:proofErr w:type="gramEnd"/>
          </w:p>
          <w:p w14:paraId="2604CA41" w14:textId="77777777" w:rsidR="00590FDE" w:rsidRDefault="00590FDE" w:rsidP="00560378">
            <w:pPr>
              <w:pStyle w:val="ListParagraph"/>
              <w:numPr>
                <w:ilvl w:val="0"/>
                <w:numId w:val="24"/>
              </w:numPr>
              <w:rPr>
                <w:sz w:val="20"/>
                <w:szCs w:val="20"/>
              </w:rPr>
            </w:pPr>
            <w:r>
              <w:rPr>
                <w:sz w:val="20"/>
                <w:szCs w:val="20"/>
              </w:rPr>
              <w:t xml:space="preserve">Formal investigation completed (Non-Title IX) – Preliminary Determination (Preponderance of evidence met) and referred to a disciplinary </w:t>
            </w:r>
            <w:proofErr w:type="gramStart"/>
            <w:r>
              <w:rPr>
                <w:sz w:val="20"/>
                <w:szCs w:val="20"/>
              </w:rPr>
              <w:t>process</w:t>
            </w:r>
            <w:proofErr w:type="gramEnd"/>
          </w:p>
          <w:p w14:paraId="20CFF0D6" w14:textId="2D8C9E5C" w:rsidR="00590FDE" w:rsidRPr="005D5362" w:rsidRDefault="00590FDE" w:rsidP="00560378">
            <w:pPr>
              <w:pStyle w:val="ListParagraph"/>
              <w:numPr>
                <w:ilvl w:val="0"/>
                <w:numId w:val="24"/>
              </w:numPr>
              <w:rPr>
                <w:sz w:val="20"/>
                <w:szCs w:val="20"/>
              </w:rPr>
            </w:pPr>
            <w:r>
              <w:rPr>
                <w:sz w:val="20"/>
                <w:szCs w:val="20"/>
              </w:rPr>
              <w:t>Formal investigation completed – No Preliminary Determination and referred to a disciplinary process</w:t>
            </w:r>
          </w:p>
        </w:tc>
        <w:tc>
          <w:tcPr>
            <w:tcW w:w="985" w:type="dxa"/>
          </w:tcPr>
          <w:p w14:paraId="645717AF" w14:textId="06A40020" w:rsidR="00590FDE" w:rsidRPr="005D5362" w:rsidRDefault="00FB2385" w:rsidP="006565D1">
            <w:pPr>
              <w:jc w:val="center"/>
              <w:rPr>
                <w:b/>
                <w:bCs/>
                <w:sz w:val="20"/>
                <w:szCs w:val="20"/>
              </w:rPr>
            </w:pPr>
            <w:r>
              <w:rPr>
                <w:b/>
                <w:bCs/>
                <w:sz w:val="20"/>
                <w:szCs w:val="20"/>
              </w:rPr>
              <w:t>1</w:t>
            </w:r>
          </w:p>
        </w:tc>
      </w:tr>
      <w:tr w:rsidR="00590FDE" w:rsidRPr="00E17A79" w14:paraId="14C03318" w14:textId="77777777" w:rsidTr="006565D1">
        <w:trPr>
          <w:trHeight w:val="486"/>
          <w:jc w:val="center"/>
        </w:trPr>
        <w:tc>
          <w:tcPr>
            <w:tcW w:w="8460" w:type="dxa"/>
            <w:vMerge/>
            <w:shd w:val="clear" w:color="auto" w:fill="D9D9D9" w:themeFill="background1" w:themeFillShade="D9"/>
          </w:tcPr>
          <w:p w14:paraId="0473B38D" w14:textId="77777777" w:rsidR="00590FDE" w:rsidRPr="005D5362" w:rsidRDefault="00590FDE" w:rsidP="006565D1">
            <w:pPr>
              <w:rPr>
                <w:b/>
                <w:bCs/>
                <w:sz w:val="20"/>
                <w:szCs w:val="20"/>
              </w:rPr>
            </w:pPr>
          </w:p>
        </w:tc>
        <w:tc>
          <w:tcPr>
            <w:tcW w:w="985" w:type="dxa"/>
          </w:tcPr>
          <w:p w14:paraId="65BBE30A" w14:textId="5CA570CA" w:rsidR="00590FDE" w:rsidRDefault="00FB2385" w:rsidP="006565D1">
            <w:pPr>
              <w:jc w:val="center"/>
              <w:rPr>
                <w:sz w:val="20"/>
                <w:szCs w:val="20"/>
              </w:rPr>
            </w:pPr>
            <w:r>
              <w:rPr>
                <w:sz w:val="20"/>
                <w:szCs w:val="20"/>
              </w:rPr>
              <w:t>--</w:t>
            </w:r>
          </w:p>
          <w:p w14:paraId="7401E706" w14:textId="77777777" w:rsidR="00590FDE" w:rsidRDefault="00590FDE" w:rsidP="006565D1">
            <w:pPr>
              <w:jc w:val="center"/>
              <w:rPr>
                <w:sz w:val="20"/>
                <w:szCs w:val="20"/>
              </w:rPr>
            </w:pPr>
            <w:r>
              <w:rPr>
                <w:sz w:val="20"/>
                <w:szCs w:val="20"/>
              </w:rPr>
              <w:t>1</w:t>
            </w:r>
          </w:p>
          <w:p w14:paraId="0808BCB5" w14:textId="77777777" w:rsidR="00590FDE" w:rsidRDefault="00590FDE" w:rsidP="006565D1">
            <w:pPr>
              <w:jc w:val="center"/>
              <w:rPr>
                <w:sz w:val="20"/>
                <w:szCs w:val="20"/>
              </w:rPr>
            </w:pPr>
          </w:p>
          <w:p w14:paraId="523C120B" w14:textId="77777777" w:rsidR="00590FDE" w:rsidRDefault="00590FDE" w:rsidP="006565D1">
            <w:pPr>
              <w:jc w:val="center"/>
              <w:rPr>
                <w:sz w:val="20"/>
                <w:szCs w:val="20"/>
              </w:rPr>
            </w:pPr>
            <w:r>
              <w:rPr>
                <w:sz w:val="20"/>
                <w:szCs w:val="20"/>
              </w:rPr>
              <w:t>--</w:t>
            </w:r>
          </w:p>
          <w:p w14:paraId="658D02DD" w14:textId="77777777" w:rsidR="00590FDE" w:rsidRDefault="00590FDE" w:rsidP="006565D1">
            <w:pPr>
              <w:jc w:val="center"/>
              <w:rPr>
                <w:sz w:val="20"/>
                <w:szCs w:val="20"/>
              </w:rPr>
            </w:pPr>
          </w:p>
          <w:p w14:paraId="6DB3D470" w14:textId="77777777" w:rsidR="00590FDE" w:rsidRDefault="00590FDE" w:rsidP="006565D1">
            <w:pPr>
              <w:jc w:val="center"/>
              <w:rPr>
                <w:sz w:val="20"/>
                <w:szCs w:val="20"/>
              </w:rPr>
            </w:pPr>
          </w:p>
          <w:p w14:paraId="724679EB" w14:textId="5278892C" w:rsidR="00590FDE" w:rsidRPr="005D5362" w:rsidRDefault="000118A6" w:rsidP="00FB2385">
            <w:pPr>
              <w:jc w:val="center"/>
              <w:rPr>
                <w:sz w:val="20"/>
                <w:szCs w:val="20"/>
              </w:rPr>
            </w:pPr>
            <w:r>
              <w:rPr>
                <w:sz w:val="20"/>
                <w:szCs w:val="20"/>
              </w:rPr>
              <w:t>--</w:t>
            </w:r>
          </w:p>
        </w:tc>
      </w:tr>
      <w:tr w:rsidR="00590FDE" w:rsidRPr="00E17A79" w14:paraId="3AF57D31" w14:textId="77777777" w:rsidTr="006565D1">
        <w:trPr>
          <w:trHeight w:val="215"/>
          <w:jc w:val="center"/>
        </w:trPr>
        <w:tc>
          <w:tcPr>
            <w:tcW w:w="8460" w:type="dxa"/>
            <w:vMerge w:val="restart"/>
            <w:shd w:val="clear" w:color="auto" w:fill="D9D9D9" w:themeFill="background1" w:themeFillShade="D9"/>
          </w:tcPr>
          <w:p w14:paraId="2C74E9F9" w14:textId="77777777" w:rsidR="00590FDE" w:rsidRPr="00893FCA" w:rsidRDefault="00590FDE" w:rsidP="006565D1">
            <w:pPr>
              <w:rPr>
                <w:b/>
                <w:bCs/>
                <w:sz w:val="20"/>
                <w:szCs w:val="20"/>
              </w:rPr>
            </w:pPr>
            <w:r w:rsidRPr="00893FCA">
              <w:rPr>
                <w:b/>
                <w:bCs/>
                <w:sz w:val="20"/>
                <w:szCs w:val="20"/>
              </w:rPr>
              <w:t>Disposition of disciplinary processes for reports under Section 51.252:</w:t>
            </w:r>
          </w:p>
          <w:p w14:paraId="1C40CF86" w14:textId="77777777" w:rsidR="00590FDE" w:rsidRDefault="00590FDE" w:rsidP="00560378">
            <w:pPr>
              <w:pStyle w:val="ListParagraph"/>
              <w:numPr>
                <w:ilvl w:val="0"/>
                <w:numId w:val="25"/>
              </w:numPr>
              <w:rPr>
                <w:sz w:val="20"/>
                <w:szCs w:val="20"/>
              </w:rPr>
            </w:pPr>
            <w:r>
              <w:rPr>
                <w:sz w:val="20"/>
                <w:szCs w:val="20"/>
              </w:rPr>
              <w:t>Disciplinary process pending</w:t>
            </w:r>
          </w:p>
          <w:p w14:paraId="7D6607E4" w14:textId="75333060" w:rsidR="00590FDE" w:rsidRPr="006E5367" w:rsidRDefault="00590FDE" w:rsidP="00560378">
            <w:pPr>
              <w:pStyle w:val="ListParagraph"/>
              <w:numPr>
                <w:ilvl w:val="0"/>
                <w:numId w:val="25"/>
              </w:numPr>
              <w:ind w:left="702"/>
              <w:rPr>
                <w:sz w:val="20"/>
                <w:szCs w:val="20"/>
              </w:rPr>
            </w:pPr>
            <w:r>
              <w:rPr>
                <w:sz w:val="20"/>
                <w:szCs w:val="20"/>
              </w:rPr>
              <w:t xml:space="preserve">Disciplinary process completed – </w:t>
            </w:r>
            <w:r w:rsidRPr="008A4820">
              <w:rPr>
                <w:sz w:val="20"/>
                <w:szCs w:val="20"/>
              </w:rPr>
              <w:t>No Finding of Policy Violation</w:t>
            </w:r>
          </w:p>
          <w:p w14:paraId="4E49A938" w14:textId="77777777" w:rsidR="00590FDE" w:rsidRPr="00E17A79" w:rsidRDefault="00590FDE" w:rsidP="00560378">
            <w:pPr>
              <w:pStyle w:val="ListParagraph"/>
              <w:numPr>
                <w:ilvl w:val="0"/>
                <w:numId w:val="25"/>
              </w:numPr>
              <w:ind w:left="702"/>
              <w:rPr>
                <w:sz w:val="20"/>
                <w:szCs w:val="20"/>
              </w:rPr>
            </w:pPr>
            <w:r>
              <w:rPr>
                <w:sz w:val="20"/>
                <w:szCs w:val="20"/>
              </w:rPr>
              <w:t xml:space="preserve">Disciplinary process completed – </w:t>
            </w:r>
            <w:r w:rsidRPr="00E17A79">
              <w:rPr>
                <w:sz w:val="20"/>
                <w:szCs w:val="20"/>
              </w:rPr>
              <w:t>Employee Disciplinary Sanction</w:t>
            </w:r>
          </w:p>
          <w:p w14:paraId="2872773C" w14:textId="2549CCF2" w:rsidR="00FB2385" w:rsidRPr="007627C4" w:rsidRDefault="00590FDE" w:rsidP="00560378">
            <w:pPr>
              <w:pStyle w:val="ListParagraph"/>
              <w:numPr>
                <w:ilvl w:val="0"/>
                <w:numId w:val="25"/>
              </w:numPr>
              <w:ind w:left="702"/>
            </w:pPr>
            <w:r>
              <w:rPr>
                <w:sz w:val="20"/>
                <w:szCs w:val="20"/>
              </w:rPr>
              <w:t xml:space="preserve">Disciplinary process completed – </w:t>
            </w:r>
            <w:r w:rsidRPr="00E17A79">
              <w:rPr>
                <w:sz w:val="20"/>
                <w:szCs w:val="20"/>
              </w:rPr>
              <w:t>Student Disciplinary Sanction</w:t>
            </w:r>
          </w:p>
        </w:tc>
        <w:tc>
          <w:tcPr>
            <w:tcW w:w="985" w:type="dxa"/>
          </w:tcPr>
          <w:p w14:paraId="4A5506DF" w14:textId="346F7784" w:rsidR="00590FDE" w:rsidRPr="00E17A79" w:rsidRDefault="00590FDE" w:rsidP="006565D1">
            <w:pPr>
              <w:jc w:val="center"/>
              <w:rPr>
                <w:b/>
                <w:bCs/>
                <w:sz w:val="20"/>
                <w:szCs w:val="20"/>
              </w:rPr>
            </w:pPr>
            <w:r>
              <w:rPr>
                <w:b/>
                <w:bCs/>
                <w:sz w:val="20"/>
                <w:szCs w:val="20"/>
              </w:rPr>
              <w:t>0</w:t>
            </w:r>
          </w:p>
        </w:tc>
      </w:tr>
      <w:tr w:rsidR="00590FDE" w:rsidRPr="00E17A79" w14:paraId="1ADA450E" w14:textId="77777777" w:rsidTr="006565D1">
        <w:trPr>
          <w:trHeight w:val="732"/>
          <w:jc w:val="center"/>
        </w:trPr>
        <w:tc>
          <w:tcPr>
            <w:tcW w:w="8460" w:type="dxa"/>
            <w:vMerge/>
            <w:shd w:val="clear" w:color="auto" w:fill="D9D9D9" w:themeFill="background1" w:themeFillShade="D9"/>
          </w:tcPr>
          <w:p w14:paraId="76D09504" w14:textId="77777777" w:rsidR="00590FDE" w:rsidRPr="00893FCA" w:rsidRDefault="00590FDE" w:rsidP="006565D1">
            <w:pPr>
              <w:rPr>
                <w:b/>
                <w:bCs/>
                <w:sz w:val="20"/>
                <w:szCs w:val="20"/>
              </w:rPr>
            </w:pPr>
          </w:p>
        </w:tc>
        <w:tc>
          <w:tcPr>
            <w:tcW w:w="985" w:type="dxa"/>
          </w:tcPr>
          <w:p w14:paraId="688FEDFC" w14:textId="77777777" w:rsidR="00590FDE" w:rsidRPr="00E17A79" w:rsidRDefault="00590FDE" w:rsidP="00590FDE">
            <w:pPr>
              <w:jc w:val="center"/>
              <w:rPr>
                <w:sz w:val="20"/>
                <w:szCs w:val="20"/>
              </w:rPr>
            </w:pPr>
            <w:r>
              <w:rPr>
                <w:sz w:val="20"/>
                <w:szCs w:val="20"/>
              </w:rPr>
              <w:t>--</w:t>
            </w:r>
          </w:p>
          <w:p w14:paraId="678405EA" w14:textId="545C93AD" w:rsidR="00590FDE" w:rsidRPr="00E17A79" w:rsidRDefault="00590FDE" w:rsidP="006565D1">
            <w:pPr>
              <w:jc w:val="center"/>
              <w:rPr>
                <w:sz w:val="20"/>
                <w:szCs w:val="20"/>
              </w:rPr>
            </w:pPr>
            <w:r>
              <w:rPr>
                <w:sz w:val="20"/>
                <w:szCs w:val="20"/>
              </w:rPr>
              <w:t>--</w:t>
            </w:r>
          </w:p>
          <w:p w14:paraId="4EE3C177" w14:textId="77777777" w:rsidR="00590FDE" w:rsidRPr="00E17A79" w:rsidRDefault="00590FDE" w:rsidP="006565D1">
            <w:pPr>
              <w:jc w:val="center"/>
              <w:rPr>
                <w:sz w:val="20"/>
                <w:szCs w:val="20"/>
              </w:rPr>
            </w:pPr>
            <w:r>
              <w:rPr>
                <w:sz w:val="20"/>
                <w:szCs w:val="20"/>
              </w:rPr>
              <w:t>--</w:t>
            </w:r>
          </w:p>
          <w:p w14:paraId="1281DBCF" w14:textId="77777777" w:rsidR="00590FDE" w:rsidRPr="00E17A79" w:rsidRDefault="00590FDE" w:rsidP="006565D1">
            <w:pPr>
              <w:jc w:val="center"/>
              <w:rPr>
                <w:sz w:val="20"/>
                <w:szCs w:val="20"/>
              </w:rPr>
            </w:pPr>
            <w:r>
              <w:rPr>
                <w:sz w:val="20"/>
                <w:szCs w:val="20"/>
              </w:rPr>
              <w:t>--</w:t>
            </w:r>
          </w:p>
        </w:tc>
      </w:tr>
      <w:tr w:rsidR="00590FDE" w:rsidRPr="00E17A79" w14:paraId="1EA42B45" w14:textId="77777777" w:rsidTr="006565D1">
        <w:trPr>
          <w:trHeight w:val="503"/>
          <w:jc w:val="center"/>
        </w:trPr>
        <w:tc>
          <w:tcPr>
            <w:tcW w:w="8460" w:type="dxa"/>
            <w:vMerge w:val="restart"/>
            <w:shd w:val="clear" w:color="auto" w:fill="D9D9D9" w:themeFill="background1" w:themeFillShade="D9"/>
          </w:tcPr>
          <w:p w14:paraId="4297EE0C" w14:textId="77777777" w:rsidR="00590FDE" w:rsidRDefault="00590FDE" w:rsidP="006565D1">
            <w:pPr>
              <w:rPr>
                <w:b/>
                <w:bCs/>
                <w:sz w:val="20"/>
                <w:szCs w:val="20"/>
              </w:rPr>
            </w:pPr>
            <w:r w:rsidRPr="006E5367">
              <w:rPr>
                <w:b/>
                <w:bCs/>
                <w:sz w:val="20"/>
                <w:szCs w:val="20"/>
              </w:rPr>
              <w:t xml:space="preserve">Number of reports under Section 51.252 for which the institution determined </w:t>
            </w:r>
            <w:r w:rsidRPr="006E5367">
              <w:rPr>
                <w:b/>
                <w:bCs/>
                <w:sz w:val="20"/>
                <w:szCs w:val="20"/>
                <w:u w:val="single"/>
              </w:rPr>
              <w:t>not</w:t>
            </w:r>
            <w:r w:rsidRPr="006E5367">
              <w:rPr>
                <w:b/>
                <w:bCs/>
                <w:sz w:val="20"/>
                <w:szCs w:val="20"/>
              </w:rPr>
              <w:t xml:space="preserve"> to initiate a disciplinary </w:t>
            </w:r>
            <w:proofErr w:type="gramStart"/>
            <w:r w:rsidRPr="006E5367">
              <w:rPr>
                <w:b/>
                <w:bCs/>
                <w:sz w:val="20"/>
                <w:szCs w:val="20"/>
              </w:rPr>
              <w:t>process</w:t>
            </w:r>
            <w:proofErr w:type="gramEnd"/>
          </w:p>
          <w:p w14:paraId="59941288" w14:textId="77777777" w:rsidR="00590FDE" w:rsidRDefault="00590FDE" w:rsidP="00560378">
            <w:pPr>
              <w:pStyle w:val="ListParagraph"/>
              <w:numPr>
                <w:ilvl w:val="0"/>
                <w:numId w:val="26"/>
              </w:numPr>
              <w:rPr>
                <w:sz w:val="20"/>
                <w:szCs w:val="20"/>
              </w:rPr>
            </w:pPr>
            <w:r>
              <w:rPr>
                <w:sz w:val="20"/>
                <w:szCs w:val="20"/>
              </w:rPr>
              <w:t>Confidential reports under Section 51.252</w:t>
            </w:r>
          </w:p>
          <w:p w14:paraId="2097D2E2" w14:textId="77777777" w:rsidR="00590FDE" w:rsidRPr="006E5367" w:rsidRDefault="00590FDE" w:rsidP="00560378">
            <w:pPr>
              <w:pStyle w:val="ListParagraph"/>
              <w:numPr>
                <w:ilvl w:val="0"/>
                <w:numId w:val="26"/>
              </w:numPr>
              <w:rPr>
                <w:sz w:val="20"/>
                <w:szCs w:val="20"/>
              </w:rPr>
            </w:pPr>
            <w:r>
              <w:rPr>
                <w:sz w:val="20"/>
                <w:szCs w:val="20"/>
              </w:rPr>
              <w:t xml:space="preserve">Respondent’s identity is </w:t>
            </w:r>
            <w:proofErr w:type="gramStart"/>
            <w:r>
              <w:rPr>
                <w:sz w:val="20"/>
                <w:szCs w:val="20"/>
              </w:rPr>
              <w:t>unknown</w:t>
            </w:r>
            <w:proofErr w:type="gramEnd"/>
          </w:p>
          <w:p w14:paraId="7B81FC05" w14:textId="77777777" w:rsidR="00590FDE" w:rsidRDefault="00590FDE" w:rsidP="00560378">
            <w:pPr>
              <w:pStyle w:val="ListParagraph"/>
              <w:numPr>
                <w:ilvl w:val="0"/>
                <w:numId w:val="26"/>
              </w:numPr>
              <w:rPr>
                <w:sz w:val="20"/>
                <w:szCs w:val="20"/>
              </w:rPr>
            </w:pPr>
            <w:r>
              <w:rPr>
                <w:sz w:val="20"/>
                <w:szCs w:val="20"/>
              </w:rPr>
              <w:t xml:space="preserve">Administrative closure due to insufficient information to </w:t>
            </w:r>
            <w:proofErr w:type="gramStart"/>
            <w:r>
              <w:rPr>
                <w:sz w:val="20"/>
                <w:szCs w:val="20"/>
              </w:rPr>
              <w:t>investigate</w:t>
            </w:r>
            <w:proofErr w:type="gramEnd"/>
          </w:p>
          <w:p w14:paraId="44AE3670" w14:textId="77777777" w:rsidR="00590FDE" w:rsidRDefault="00590FDE" w:rsidP="00560378">
            <w:pPr>
              <w:pStyle w:val="ListParagraph"/>
              <w:numPr>
                <w:ilvl w:val="0"/>
                <w:numId w:val="26"/>
              </w:numPr>
              <w:rPr>
                <w:sz w:val="20"/>
                <w:szCs w:val="20"/>
              </w:rPr>
            </w:pPr>
            <w:r>
              <w:rPr>
                <w:sz w:val="20"/>
                <w:szCs w:val="20"/>
              </w:rPr>
              <w:t xml:space="preserve">Determined matter was previously investigated or alleged conduct did not meet the definition of sexual harassment, sexual assault, dating violence or </w:t>
            </w:r>
            <w:proofErr w:type="gramStart"/>
            <w:r>
              <w:rPr>
                <w:sz w:val="20"/>
                <w:szCs w:val="20"/>
              </w:rPr>
              <w:t>stalking</w:t>
            </w:r>
            <w:proofErr w:type="gramEnd"/>
          </w:p>
          <w:p w14:paraId="6A6B52CF" w14:textId="77777777" w:rsidR="00590FDE" w:rsidRDefault="00590FDE" w:rsidP="00560378">
            <w:pPr>
              <w:pStyle w:val="ListParagraph"/>
              <w:numPr>
                <w:ilvl w:val="0"/>
                <w:numId w:val="26"/>
              </w:numPr>
              <w:rPr>
                <w:sz w:val="20"/>
                <w:szCs w:val="20"/>
              </w:rPr>
            </w:pPr>
            <w:r>
              <w:rPr>
                <w:sz w:val="20"/>
                <w:szCs w:val="20"/>
              </w:rPr>
              <w:t xml:space="preserve">Complainant requested the institution not </w:t>
            </w:r>
            <w:proofErr w:type="gramStart"/>
            <w:r>
              <w:rPr>
                <w:sz w:val="20"/>
                <w:szCs w:val="20"/>
              </w:rPr>
              <w:t>investigate</w:t>
            </w:r>
            <w:proofErr w:type="gramEnd"/>
            <w:r>
              <w:rPr>
                <w:sz w:val="20"/>
                <w:szCs w:val="20"/>
              </w:rPr>
              <w:t xml:space="preserve"> </w:t>
            </w:r>
          </w:p>
          <w:p w14:paraId="3254AD29" w14:textId="77777777" w:rsidR="00590FDE" w:rsidRDefault="00590FDE" w:rsidP="00560378">
            <w:pPr>
              <w:pStyle w:val="ListParagraph"/>
              <w:numPr>
                <w:ilvl w:val="0"/>
                <w:numId w:val="26"/>
              </w:numPr>
              <w:rPr>
                <w:sz w:val="20"/>
                <w:szCs w:val="20"/>
              </w:rPr>
            </w:pPr>
            <w:r>
              <w:rPr>
                <w:sz w:val="20"/>
                <w:szCs w:val="20"/>
              </w:rPr>
              <w:t>Informal resolution process ongoing</w:t>
            </w:r>
          </w:p>
          <w:p w14:paraId="7583CF30" w14:textId="77777777" w:rsidR="00590FDE" w:rsidRDefault="00590FDE" w:rsidP="00560378">
            <w:pPr>
              <w:pStyle w:val="ListParagraph"/>
              <w:numPr>
                <w:ilvl w:val="0"/>
                <w:numId w:val="26"/>
              </w:numPr>
              <w:rPr>
                <w:sz w:val="20"/>
                <w:szCs w:val="20"/>
              </w:rPr>
            </w:pPr>
            <w:r>
              <w:rPr>
                <w:sz w:val="20"/>
                <w:szCs w:val="20"/>
              </w:rPr>
              <w:t xml:space="preserve">Informal resolution process </w:t>
            </w:r>
            <w:proofErr w:type="gramStart"/>
            <w:r>
              <w:rPr>
                <w:sz w:val="20"/>
                <w:szCs w:val="20"/>
              </w:rPr>
              <w:t>completed</w:t>
            </w:r>
            <w:proofErr w:type="gramEnd"/>
          </w:p>
          <w:p w14:paraId="5CB067B6" w14:textId="77777777" w:rsidR="00590FDE" w:rsidRPr="00E3658F" w:rsidRDefault="00590FDE" w:rsidP="00560378">
            <w:pPr>
              <w:pStyle w:val="ListParagraph"/>
              <w:numPr>
                <w:ilvl w:val="0"/>
                <w:numId w:val="26"/>
              </w:numPr>
              <w:rPr>
                <w:bCs/>
                <w:sz w:val="20"/>
                <w:szCs w:val="20"/>
              </w:rPr>
            </w:pPr>
            <w:r w:rsidRPr="00E3658F">
              <w:rPr>
                <w:bCs/>
                <w:sz w:val="20"/>
                <w:szCs w:val="20"/>
              </w:rPr>
              <w:t>Administrative closure—respondent non-affiliated</w:t>
            </w:r>
          </w:p>
        </w:tc>
        <w:tc>
          <w:tcPr>
            <w:tcW w:w="985" w:type="dxa"/>
          </w:tcPr>
          <w:p w14:paraId="768793F2" w14:textId="77777777" w:rsidR="00590FDE" w:rsidRDefault="00590FDE" w:rsidP="006565D1">
            <w:pPr>
              <w:jc w:val="center"/>
              <w:rPr>
                <w:b/>
                <w:bCs/>
                <w:sz w:val="20"/>
                <w:szCs w:val="20"/>
              </w:rPr>
            </w:pPr>
          </w:p>
          <w:p w14:paraId="4A439B28" w14:textId="1B483449" w:rsidR="00590FDE" w:rsidRPr="00E17A79" w:rsidRDefault="00590FDE" w:rsidP="006565D1">
            <w:pPr>
              <w:jc w:val="center"/>
              <w:rPr>
                <w:b/>
                <w:bCs/>
                <w:sz w:val="20"/>
                <w:szCs w:val="20"/>
              </w:rPr>
            </w:pPr>
            <w:r>
              <w:rPr>
                <w:b/>
                <w:bCs/>
                <w:sz w:val="20"/>
                <w:szCs w:val="20"/>
              </w:rPr>
              <w:t>4</w:t>
            </w:r>
            <w:r w:rsidR="00FB2385">
              <w:rPr>
                <w:b/>
                <w:bCs/>
                <w:sz w:val="20"/>
                <w:szCs w:val="20"/>
              </w:rPr>
              <w:t>6</w:t>
            </w:r>
          </w:p>
        </w:tc>
      </w:tr>
      <w:tr w:rsidR="00590FDE" w:rsidRPr="00E17A79" w14:paraId="70BA2594" w14:textId="77777777" w:rsidTr="006565D1">
        <w:trPr>
          <w:trHeight w:val="612"/>
          <w:jc w:val="center"/>
        </w:trPr>
        <w:tc>
          <w:tcPr>
            <w:tcW w:w="8460" w:type="dxa"/>
            <w:vMerge/>
            <w:shd w:val="clear" w:color="auto" w:fill="D9D9D9" w:themeFill="background1" w:themeFillShade="D9"/>
          </w:tcPr>
          <w:p w14:paraId="1B1CB276" w14:textId="77777777" w:rsidR="00590FDE" w:rsidRPr="006E5367" w:rsidRDefault="00590FDE" w:rsidP="006565D1">
            <w:pPr>
              <w:rPr>
                <w:b/>
                <w:bCs/>
                <w:sz w:val="20"/>
                <w:szCs w:val="20"/>
              </w:rPr>
            </w:pPr>
          </w:p>
        </w:tc>
        <w:tc>
          <w:tcPr>
            <w:tcW w:w="985" w:type="dxa"/>
          </w:tcPr>
          <w:p w14:paraId="36F71BC7" w14:textId="77777777" w:rsidR="00590FDE" w:rsidRPr="006E5367" w:rsidRDefault="00590FDE" w:rsidP="006565D1">
            <w:pPr>
              <w:jc w:val="center"/>
              <w:rPr>
                <w:sz w:val="20"/>
                <w:szCs w:val="20"/>
              </w:rPr>
            </w:pPr>
            <w:r>
              <w:rPr>
                <w:sz w:val="20"/>
                <w:szCs w:val="20"/>
              </w:rPr>
              <w:t>24</w:t>
            </w:r>
          </w:p>
          <w:p w14:paraId="40F18300" w14:textId="77777777" w:rsidR="00590FDE" w:rsidRDefault="00590FDE" w:rsidP="006565D1">
            <w:pPr>
              <w:jc w:val="center"/>
              <w:rPr>
                <w:sz w:val="20"/>
                <w:szCs w:val="20"/>
              </w:rPr>
            </w:pPr>
            <w:r>
              <w:rPr>
                <w:sz w:val="20"/>
                <w:szCs w:val="20"/>
              </w:rPr>
              <w:t>--</w:t>
            </w:r>
          </w:p>
          <w:p w14:paraId="0C3B6B73" w14:textId="77777777" w:rsidR="00590FDE" w:rsidRDefault="00590FDE" w:rsidP="006565D1">
            <w:pPr>
              <w:jc w:val="center"/>
              <w:rPr>
                <w:sz w:val="20"/>
                <w:szCs w:val="20"/>
              </w:rPr>
            </w:pPr>
            <w:r>
              <w:rPr>
                <w:sz w:val="20"/>
                <w:szCs w:val="20"/>
              </w:rPr>
              <w:t>5</w:t>
            </w:r>
          </w:p>
          <w:p w14:paraId="5E95C316" w14:textId="77777777" w:rsidR="00590FDE" w:rsidRDefault="00590FDE" w:rsidP="006565D1">
            <w:pPr>
              <w:rPr>
                <w:sz w:val="20"/>
                <w:szCs w:val="20"/>
              </w:rPr>
            </w:pPr>
          </w:p>
          <w:p w14:paraId="326A188E" w14:textId="3C0A9C3A" w:rsidR="00590FDE" w:rsidRDefault="00FB2385" w:rsidP="006565D1">
            <w:pPr>
              <w:jc w:val="center"/>
              <w:rPr>
                <w:sz w:val="20"/>
                <w:szCs w:val="20"/>
              </w:rPr>
            </w:pPr>
            <w:r>
              <w:rPr>
                <w:sz w:val="20"/>
                <w:szCs w:val="20"/>
              </w:rPr>
              <w:t>3</w:t>
            </w:r>
          </w:p>
          <w:p w14:paraId="2B3CD934" w14:textId="77777777" w:rsidR="00590FDE" w:rsidRDefault="00590FDE" w:rsidP="006565D1">
            <w:pPr>
              <w:jc w:val="center"/>
              <w:rPr>
                <w:sz w:val="20"/>
                <w:szCs w:val="20"/>
              </w:rPr>
            </w:pPr>
            <w:r>
              <w:rPr>
                <w:sz w:val="20"/>
                <w:szCs w:val="20"/>
              </w:rPr>
              <w:t>--</w:t>
            </w:r>
          </w:p>
          <w:p w14:paraId="58655CA8" w14:textId="77777777" w:rsidR="00590FDE" w:rsidRDefault="00590FDE" w:rsidP="006565D1">
            <w:pPr>
              <w:jc w:val="center"/>
              <w:rPr>
                <w:sz w:val="20"/>
                <w:szCs w:val="20"/>
              </w:rPr>
            </w:pPr>
            <w:r>
              <w:rPr>
                <w:sz w:val="20"/>
                <w:szCs w:val="20"/>
              </w:rPr>
              <w:t>--</w:t>
            </w:r>
          </w:p>
          <w:p w14:paraId="43A07EC9" w14:textId="77777777" w:rsidR="00590FDE" w:rsidRDefault="00590FDE" w:rsidP="006565D1">
            <w:pPr>
              <w:jc w:val="center"/>
              <w:rPr>
                <w:sz w:val="20"/>
                <w:szCs w:val="20"/>
              </w:rPr>
            </w:pPr>
            <w:r>
              <w:rPr>
                <w:sz w:val="20"/>
                <w:szCs w:val="20"/>
              </w:rPr>
              <w:t>--</w:t>
            </w:r>
          </w:p>
          <w:p w14:paraId="7F2CB21E" w14:textId="7E183063" w:rsidR="00590FDE" w:rsidRPr="006E5367" w:rsidRDefault="00590FDE" w:rsidP="006565D1">
            <w:pPr>
              <w:jc w:val="center"/>
              <w:rPr>
                <w:sz w:val="20"/>
                <w:szCs w:val="20"/>
              </w:rPr>
            </w:pPr>
            <w:r>
              <w:rPr>
                <w:sz w:val="20"/>
                <w:szCs w:val="20"/>
              </w:rPr>
              <w:t>1</w:t>
            </w:r>
            <w:r w:rsidR="00FB2385">
              <w:rPr>
                <w:sz w:val="20"/>
                <w:szCs w:val="20"/>
              </w:rPr>
              <w:t>4</w:t>
            </w:r>
          </w:p>
        </w:tc>
      </w:tr>
    </w:tbl>
    <w:p w14:paraId="0BCA1663" w14:textId="77777777" w:rsidR="00537B0F" w:rsidRDefault="00537B0F" w:rsidP="00537B0F">
      <w:pPr>
        <w:spacing w:after="0"/>
      </w:pPr>
    </w:p>
    <w:p w14:paraId="1EBE89E0" w14:textId="77777777" w:rsidR="005F700E" w:rsidRDefault="005F700E" w:rsidP="000D6200">
      <w:pPr>
        <w:spacing w:after="0"/>
      </w:pPr>
    </w:p>
    <w:sectPr w:rsidR="005F700E" w:rsidSect="00AE7E35">
      <w:footerReference w:type="default" r:id="rId12"/>
      <w:headerReference w:type="first" r:id="rId13"/>
      <w:pgSz w:w="12240" w:h="15840"/>
      <w:pgMar w:top="1170" w:right="1170" w:bottom="720" w:left="1440" w:header="180" w:footer="3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66E" w14:textId="77777777" w:rsidR="006320B2" w:rsidRDefault="006320B2" w:rsidP="00FA62E5">
      <w:pPr>
        <w:spacing w:after="0" w:line="240" w:lineRule="auto"/>
      </w:pPr>
      <w:r>
        <w:separator/>
      </w:r>
    </w:p>
  </w:endnote>
  <w:endnote w:type="continuationSeparator" w:id="0">
    <w:p w14:paraId="17EBD072" w14:textId="77777777" w:rsidR="006320B2" w:rsidRDefault="006320B2" w:rsidP="00FA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1342"/>
      <w:docPartObj>
        <w:docPartGallery w:val="Page Numbers (Bottom of Page)"/>
        <w:docPartUnique/>
      </w:docPartObj>
    </w:sdtPr>
    <w:sdtEndPr/>
    <w:sdtContent>
      <w:sdt>
        <w:sdtPr>
          <w:id w:val="-1769616900"/>
          <w:docPartObj>
            <w:docPartGallery w:val="Page Numbers (Top of Page)"/>
            <w:docPartUnique/>
          </w:docPartObj>
        </w:sdtPr>
        <w:sdtEndPr/>
        <w:sdtContent>
          <w:p w14:paraId="166E3519" w14:textId="69145F90" w:rsidR="0027119F" w:rsidRDefault="002711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33463D" w14:textId="5B6A41E1" w:rsidR="00A53412" w:rsidRDefault="00A5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4742" w14:textId="77777777" w:rsidR="006320B2" w:rsidRDefault="006320B2" w:rsidP="00FA62E5">
      <w:pPr>
        <w:spacing w:after="0" w:line="240" w:lineRule="auto"/>
      </w:pPr>
      <w:r>
        <w:separator/>
      </w:r>
    </w:p>
  </w:footnote>
  <w:footnote w:type="continuationSeparator" w:id="0">
    <w:p w14:paraId="1C2098F0" w14:textId="77777777" w:rsidR="006320B2" w:rsidRDefault="006320B2" w:rsidP="00FA62E5">
      <w:pPr>
        <w:spacing w:after="0" w:line="240" w:lineRule="auto"/>
      </w:pPr>
      <w:r>
        <w:continuationSeparator/>
      </w:r>
    </w:p>
  </w:footnote>
  <w:footnote w:id="1">
    <w:p w14:paraId="16600D03" w14:textId="77777777" w:rsidR="00590FDE" w:rsidRDefault="00590FDE" w:rsidP="00590FDE">
      <w:pPr>
        <w:pStyle w:val="FootnoteText"/>
      </w:pPr>
      <w:r>
        <w:rPr>
          <w:rStyle w:val="FootnoteReference"/>
        </w:rPr>
        <w:footnoteRef/>
      </w:r>
      <w:r>
        <w:t xml:space="preserve"> Not all reports of alleged sexual harassment, sexual assault, dating violence, and stalking against a student or employee are reflected in the CEO Report. Reports made by students and all other non-employees (including incidents under 19 Tex. Admin. Code Section 3.5(d)(3)) directly to the Title IX Coordinator are excluded.  Further, if the Title IX Coordinator receives a report that a student or employee was a victim of sexual harassment, sexual assault, dating violence, or stalking prior to being enrolled at or employed by the</w:t>
      </w:r>
      <w:r w:rsidRPr="002F08F4">
        <w:t xml:space="preserve"> </w:t>
      </w:r>
      <w:r>
        <w:t xml:space="preserve">institution, the report is excluded. Additionally, if a Title IX Coordinator or Deputy Coordinator determines that the type of incident described in a report, as alleged, does not constitute “sexual harassment,” “sexual assault,” “dating violence,” or “stalking” as defined in the TEC, Section 51.251, the report is excluded. </w:t>
      </w:r>
      <w:r w:rsidRPr="002F08F4">
        <w:t>When identifiable, duplicate reports were consolidated and counted as one report in the summary data</w:t>
      </w:r>
      <w:r>
        <w:t>. For example, two employees may witness the same incident of sexual harassment and then report it to the Title IX Coordinator. If the Title IX Coordinator can identify the two reports as being the same incident, then the incident will be counted once. It is the responsibility of the Title IX Coordinator or Deputy Title IX Coordinator to assess each report received and determine whether it is properly included in this report, and if so, to correctly identify the type of incident.</w:t>
      </w:r>
    </w:p>
    <w:p w14:paraId="7DDFE22F" w14:textId="77777777" w:rsidR="00590FDE" w:rsidRDefault="00590FDE" w:rsidP="00590FDE">
      <w:pPr>
        <w:pStyle w:val="FootnoteText"/>
      </w:pPr>
    </w:p>
  </w:footnote>
  <w:footnote w:id="2">
    <w:p w14:paraId="10F52AD3" w14:textId="77777777" w:rsidR="00590FDE" w:rsidRDefault="00590FDE" w:rsidP="00590FDE">
      <w:pPr>
        <w:pStyle w:val="FootnoteText"/>
      </w:pPr>
      <w:r>
        <w:rPr>
          <w:rStyle w:val="FootnoteReference"/>
        </w:rPr>
        <w:footnoteRef/>
      </w:r>
      <w:r>
        <w:t xml:space="preserve"> A confidential report consists only of the “type of incident” from a confidential employee to the Title IX Coordinator; therefore, </w:t>
      </w:r>
      <w:r w:rsidRPr="00777C2E">
        <w:t>personally</w:t>
      </w:r>
      <w:r>
        <w:t xml:space="preserve"> identifiable information is excluded under these circumstances. Examples of confidential employees may include victim advocates for students, student ombuds, or those who work in a counseling center or student health center. </w:t>
      </w:r>
    </w:p>
    <w:p w14:paraId="28789CF9" w14:textId="77777777" w:rsidR="00590FDE" w:rsidRDefault="00590FDE" w:rsidP="00590FDE">
      <w:pPr>
        <w:pStyle w:val="FootnoteText"/>
      </w:pPr>
    </w:p>
  </w:footnote>
  <w:footnote w:id="3">
    <w:p w14:paraId="362AB867" w14:textId="77777777" w:rsidR="00590FDE" w:rsidRDefault="00590FDE" w:rsidP="00590FDE">
      <w:pPr>
        <w:pStyle w:val="FootnoteText"/>
      </w:pPr>
      <w:r>
        <w:rPr>
          <w:rStyle w:val="FootnoteReference"/>
        </w:rPr>
        <w:footnoteRef/>
      </w:r>
      <w:r>
        <w:t xml:space="preserve"> Some investigation reports contain an investigator’s preliminary determination regarding the respondent’s responsibility. But in other instances, for example, those classified as “Title IX” investigations, the investigation report will not contain a preliminary determination because the Title IX regulations, effective August 14, 2020, prohibit investigator determinations regarding responsibility.</w:t>
      </w:r>
    </w:p>
    <w:p w14:paraId="1FF106E2" w14:textId="77777777" w:rsidR="00590FDE" w:rsidRDefault="00590FDE" w:rsidP="00590FDE">
      <w:pPr>
        <w:pStyle w:val="FootnoteText"/>
      </w:pPr>
    </w:p>
  </w:footnote>
  <w:footnote w:id="4">
    <w:p w14:paraId="7CA1E02B" w14:textId="77777777" w:rsidR="00590FDE" w:rsidRDefault="00590FDE" w:rsidP="00590FDE">
      <w:pPr>
        <w:pStyle w:val="CommentText"/>
      </w:pPr>
      <w:r>
        <w:rPr>
          <w:rStyle w:val="FootnoteReference"/>
        </w:rPr>
        <w:footnoteRef/>
      </w:r>
      <w:r>
        <w:t xml:space="preserve"> “No Finding of a Policy Violation” in this section refers to instances where there is no finding of responsibility after a hearing or an appeal process; investigations completed with a preponderance of evidence not met are excluded since it would not have moved forward into a disciplinary process.</w:t>
      </w:r>
    </w:p>
  </w:footnote>
  <w:footnote w:id="5">
    <w:p w14:paraId="533561D4" w14:textId="1A77E103" w:rsidR="001B0C9C" w:rsidRDefault="001B0C9C">
      <w:pPr>
        <w:pStyle w:val="FootnoteText"/>
      </w:pPr>
      <w:r>
        <w:rPr>
          <w:rStyle w:val="FootnoteReference"/>
        </w:rPr>
        <w:footnoteRef/>
      </w:r>
      <w:r>
        <w:t xml:space="preserve"> </w:t>
      </w:r>
      <w:r w:rsidR="00572CD4">
        <w:t>Th</w:t>
      </w:r>
      <w:r w:rsidR="00B329DF">
        <w:t>e</w:t>
      </w:r>
      <w:r w:rsidR="00572CD4">
        <w:t xml:space="preserve"> </w:t>
      </w:r>
      <w:r w:rsidR="0055143E">
        <w:t>202</w:t>
      </w:r>
      <w:r w:rsidR="00335EBF">
        <w:t>2</w:t>
      </w:r>
      <w:r w:rsidR="0055143E">
        <w:t xml:space="preserve"> </w:t>
      </w:r>
      <w:r w:rsidR="00572CD4">
        <w:t xml:space="preserve">CEO Report Updates </w:t>
      </w:r>
      <w:r w:rsidR="00E8340C">
        <w:t xml:space="preserve">consists of </w:t>
      </w:r>
      <w:r w:rsidR="0050503A">
        <w:t xml:space="preserve">the </w:t>
      </w:r>
      <w:r w:rsidR="007B4B15">
        <w:t xml:space="preserve">cumulative </w:t>
      </w:r>
      <w:r w:rsidR="00013DAB">
        <w:t>data</w:t>
      </w:r>
      <w:r w:rsidR="0063020F">
        <w:t xml:space="preserve"> set </w:t>
      </w:r>
      <w:r w:rsidR="004C0657">
        <w:t xml:space="preserve">that originated in </w:t>
      </w:r>
      <w:r w:rsidR="0063020F">
        <w:t>20</w:t>
      </w:r>
      <w:r w:rsidR="00DE02BB">
        <w:t>2</w:t>
      </w:r>
      <w:r w:rsidR="00335EBF">
        <w:t>1</w:t>
      </w:r>
      <w:r w:rsidR="00DE02BB">
        <w:t>-</w:t>
      </w:r>
      <w:r w:rsidR="0063020F">
        <w:t>202</w:t>
      </w:r>
      <w:r w:rsidR="00335EBF">
        <w:t>2</w:t>
      </w:r>
      <w:r w:rsidR="00572CD4">
        <w:t xml:space="preserve"> </w:t>
      </w:r>
      <w:r w:rsidR="0063020F">
        <w:t xml:space="preserve">with </w:t>
      </w:r>
      <w:r w:rsidR="00572CD4">
        <w:t xml:space="preserve">updated statuses of investigation or </w:t>
      </w:r>
      <w:r w:rsidR="000F0FC9">
        <w:t xml:space="preserve">disciplinary process dispositions. For example, </w:t>
      </w:r>
      <w:r w:rsidR="009F4339">
        <w:t xml:space="preserve">investigations that were ongoing </w:t>
      </w:r>
      <w:r w:rsidR="00744889">
        <w:t xml:space="preserve">or disciplinary processes that were pending </w:t>
      </w:r>
      <w:r w:rsidR="009F4339">
        <w:t>as of 202</w:t>
      </w:r>
      <w:r w:rsidR="00335EBF">
        <w:t>2</w:t>
      </w:r>
      <w:r w:rsidR="00171E6F">
        <w:t>’s CEO Report</w:t>
      </w:r>
      <w:r w:rsidR="009F4339">
        <w:t xml:space="preserve"> that have since </w:t>
      </w:r>
      <w:r w:rsidR="00744889">
        <w:t xml:space="preserve">concluded </w:t>
      </w:r>
      <w:r w:rsidR="00171E6F">
        <w:t>as of 202</w:t>
      </w:r>
      <w:r w:rsidR="00335EBF">
        <w:t>3</w:t>
      </w:r>
      <w:r w:rsidR="00171E6F">
        <w:t xml:space="preserve">’s CEO Report </w:t>
      </w:r>
      <w:r w:rsidR="00744889">
        <w:t xml:space="preserve">will have an updated </w:t>
      </w:r>
      <w:r w:rsidR="00E96606">
        <w:t xml:space="preserve">status or </w:t>
      </w:r>
      <w:r w:rsidR="00744889">
        <w:t>disposition reflec</w:t>
      </w:r>
      <w:r w:rsidR="0016221C">
        <w:t>ted here</w:t>
      </w:r>
      <w:r w:rsidR="004D6E5C">
        <w:t>.</w:t>
      </w:r>
      <w:r w:rsidR="0016221C">
        <w:t xml:space="preserve"> </w:t>
      </w:r>
    </w:p>
    <w:p w14:paraId="1A2E4971" w14:textId="77777777" w:rsidR="00572CD4" w:rsidRDefault="00572C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653D" w14:textId="4231EAA5" w:rsidR="00415011" w:rsidRPr="00FE0F07" w:rsidRDefault="00FB2385" w:rsidP="00FE0F07">
    <w:pPr>
      <w:pStyle w:val="Header"/>
    </w:pPr>
    <w:r>
      <w:t xml:space="preserve">need UTPB President Office’s </w:t>
    </w:r>
    <w:proofErr w:type="gramStart"/>
    <w:r>
      <w:t>letterhead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1A3"/>
    <w:multiLevelType w:val="hybridMultilevel"/>
    <w:tmpl w:val="07B86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A0F3D"/>
    <w:multiLevelType w:val="hybridMultilevel"/>
    <w:tmpl w:val="07B86B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1516E"/>
    <w:multiLevelType w:val="hybridMultilevel"/>
    <w:tmpl w:val="21703938"/>
    <w:lvl w:ilvl="0" w:tplc="FFFFFFFF">
      <w:start w:val="1"/>
      <w:numFmt w:val="lowerLetter"/>
      <w:lvlText w:val="%1."/>
      <w:lvlJc w:val="left"/>
      <w:pPr>
        <w:ind w:left="720" w:hanging="360"/>
      </w:pPr>
      <w:rPr>
        <w:rFonts w:cstheme="min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27492"/>
    <w:multiLevelType w:val="hybridMultilevel"/>
    <w:tmpl w:val="75DE2F60"/>
    <w:lvl w:ilvl="0" w:tplc="7910D85A">
      <w:start w:val="1"/>
      <w:numFmt w:val="low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00DA2"/>
    <w:multiLevelType w:val="hybridMultilevel"/>
    <w:tmpl w:val="574ECA00"/>
    <w:lvl w:ilvl="0" w:tplc="FFFFFFFF">
      <w:start w:val="1"/>
      <w:numFmt w:val="lowerLetter"/>
      <w:lvlText w:val="%1."/>
      <w:lvlJc w:val="left"/>
      <w:pPr>
        <w:ind w:left="690" w:hanging="360"/>
      </w:pPr>
      <w:rPr>
        <w:rFonts w:hint="default"/>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5" w15:restartNumberingAfterBreak="0">
    <w:nsid w:val="17BB1700"/>
    <w:multiLevelType w:val="hybridMultilevel"/>
    <w:tmpl w:val="85E8AA8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063680"/>
    <w:multiLevelType w:val="hybridMultilevel"/>
    <w:tmpl w:val="07B86B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30E7B"/>
    <w:multiLevelType w:val="hybridMultilevel"/>
    <w:tmpl w:val="21703938"/>
    <w:lvl w:ilvl="0" w:tplc="8AA8F0E2">
      <w:start w:val="1"/>
      <w:numFmt w:val="lowerLetter"/>
      <w:lvlText w:val="%1."/>
      <w:lvlJc w:val="left"/>
      <w:pPr>
        <w:ind w:left="720" w:hanging="360"/>
      </w:pPr>
      <w:rPr>
        <w:rFonts w:cs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F24F2"/>
    <w:multiLevelType w:val="hybridMultilevel"/>
    <w:tmpl w:val="07B86B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125297"/>
    <w:multiLevelType w:val="hybridMultilevel"/>
    <w:tmpl w:val="574ECA00"/>
    <w:lvl w:ilvl="0" w:tplc="FFFFFFFF">
      <w:start w:val="1"/>
      <w:numFmt w:val="lowerLetter"/>
      <w:lvlText w:val="%1."/>
      <w:lvlJc w:val="left"/>
      <w:pPr>
        <w:ind w:left="690" w:hanging="360"/>
      </w:pPr>
      <w:rPr>
        <w:rFonts w:hint="default"/>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10" w15:restartNumberingAfterBreak="0">
    <w:nsid w:val="27CC7CBB"/>
    <w:multiLevelType w:val="hybridMultilevel"/>
    <w:tmpl w:val="85E8AA88"/>
    <w:lvl w:ilvl="0" w:tplc="A0B6F1A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873D6"/>
    <w:multiLevelType w:val="hybridMultilevel"/>
    <w:tmpl w:val="10FE3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D0ED8"/>
    <w:multiLevelType w:val="hybridMultilevel"/>
    <w:tmpl w:val="85E8AA88"/>
    <w:lvl w:ilvl="0" w:tplc="A0B6F1A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C10EF"/>
    <w:multiLevelType w:val="hybridMultilevel"/>
    <w:tmpl w:val="666E15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72459C"/>
    <w:multiLevelType w:val="hybridMultilevel"/>
    <w:tmpl w:val="85E8AA8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4D0285"/>
    <w:multiLevelType w:val="hybridMultilevel"/>
    <w:tmpl w:val="07B86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5368E"/>
    <w:multiLevelType w:val="hybridMultilevel"/>
    <w:tmpl w:val="574ECA00"/>
    <w:lvl w:ilvl="0" w:tplc="A8CAEA3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4261537D"/>
    <w:multiLevelType w:val="hybridMultilevel"/>
    <w:tmpl w:val="40A2E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F393C"/>
    <w:multiLevelType w:val="hybridMultilevel"/>
    <w:tmpl w:val="21703938"/>
    <w:lvl w:ilvl="0" w:tplc="8AA8F0E2">
      <w:start w:val="1"/>
      <w:numFmt w:val="lowerLetter"/>
      <w:lvlText w:val="%1."/>
      <w:lvlJc w:val="left"/>
      <w:pPr>
        <w:ind w:left="720" w:hanging="360"/>
      </w:pPr>
      <w:rPr>
        <w:rFonts w:cs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F273E"/>
    <w:multiLevelType w:val="hybridMultilevel"/>
    <w:tmpl w:val="666E1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15641"/>
    <w:multiLevelType w:val="hybridMultilevel"/>
    <w:tmpl w:val="666E1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527AD"/>
    <w:multiLevelType w:val="hybridMultilevel"/>
    <w:tmpl w:val="07B86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536AF"/>
    <w:multiLevelType w:val="hybridMultilevel"/>
    <w:tmpl w:val="14F09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F423C2"/>
    <w:multiLevelType w:val="hybridMultilevel"/>
    <w:tmpl w:val="666E15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D5106F"/>
    <w:multiLevelType w:val="hybridMultilevel"/>
    <w:tmpl w:val="07B86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6D16"/>
    <w:multiLevelType w:val="hybridMultilevel"/>
    <w:tmpl w:val="574ECA00"/>
    <w:lvl w:ilvl="0" w:tplc="A8CAEA3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799541320">
    <w:abstractNumId w:val="20"/>
  </w:num>
  <w:num w:numId="2" w16cid:durableId="97141089">
    <w:abstractNumId w:val="22"/>
  </w:num>
  <w:num w:numId="3" w16cid:durableId="2111731567">
    <w:abstractNumId w:val="3"/>
  </w:num>
  <w:num w:numId="4" w16cid:durableId="1177499074">
    <w:abstractNumId w:val="18"/>
  </w:num>
  <w:num w:numId="5" w16cid:durableId="1158349162">
    <w:abstractNumId w:val="16"/>
  </w:num>
  <w:num w:numId="6" w16cid:durableId="69737691">
    <w:abstractNumId w:val="17"/>
  </w:num>
  <w:num w:numId="7" w16cid:durableId="872427840">
    <w:abstractNumId w:val="0"/>
  </w:num>
  <w:num w:numId="8" w16cid:durableId="1486361189">
    <w:abstractNumId w:val="12"/>
  </w:num>
  <w:num w:numId="9" w16cid:durableId="1982419435">
    <w:abstractNumId w:val="21"/>
  </w:num>
  <w:num w:numId="10" w16cid:durableId="1547647152">
    <w:abstractNumId w:val="25"/>
  </w:num>
  <w:num w:numId="11" w16cid:durableId="1942952651">
    <w:abstractNumId w:val="15"/>
  </w:num>
  <w:num w:numId="12" w16cid:durableId="995572980">
    <w:abstractNumId w:val="19"/>
  </w:num>
  <w:num w:numId="13" w16cid:durableId="1937321546">
    <w:abstractNumId w:val="10"/>
  </w:num>
  <w:num w:numId="14" w16cid:durableId="426198662">
    <w:abstractNumId w:val="24"/>
  </w:num>
  <w:num w:numId="15" w16cid:durableId="274413486">
    <w:abstractNumId w:val="7"/>
  </w:num>
  <w:num w:numId="16" w16cid:durableId="2071490771">
    <w:abstractNumId w:val="11"/>
  </w:num>
  <w:num w:numId="17" w16cid:durableId="1009793320">
    <w:abstractNumId w:val="9"/>
  </w:num>
  <w:num w:numId="18" w16cid:durableId="185946208">
    <w:abstractNumId w:val="8"/>
  </w:num>
  <w:num w:numId="19" w16cid:durableId="1591694595">
    <w:abstractNumId w:val="13"/>
  </w:num>
  <w:num w:numId="20" w16cid:durableId="843670187">
    <w:abstractNumId w:val="14"/>
  </w:num>
  <w:num w:numId="21" w16cid:durableId="1328486029">
    <w:abstractNumId w:val="1"/>
  </w:num>
  <w:num w:numId="22" w16cid:durableId="545533467">
    <w:abstractNumId w:val="2"/>
  </w:num>
  <w:num w:numId="23" w16cid:durableId="1131946358">
    <w:abstractNumId w:val="4"/>
  </w:num>
  <w:num w:numId="24" w16cid:durableId="270942602">
    <w:abstractNumId w:val="6"/>
  </w:num>
  <w:num w:numId="25" w16cid:durableId="1967733613">
    <w:abstractNumId w:val="23"/>
  </w:num>
  <w:num w:numId="26" w16cid:durableId="381560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E5"/>
    <w:rsid w:val="0000000C"/>
    <w:rsid w:val="00002AA9"/>
    <w:rsid w:val="000031FA"/>
    <w:rsid w:val="00007F2C"/>
    <w:rsid w:val="000118A6"/>
    <w:rsid w:val="00013DAB"/>
    <w:rsid w:val="00017673"/>
    <w:rsid w:val="000208C3"/>
    <w:rsid w:val="000238E3"/>
    <w:rsid w:val="00031400"/>
    <w:rsid w:val="00035EC2"/>
    <w:rsid w:val="00041821"/>
    <w:rsid w:val="00055FD2"/>
    <w:rsid w:val="0006145E"/>
    <w:rsid w:val="000643E9"/>
    <w:rsid w:val="000675D1"/>
    <w:rsid w:val="0007019C"/>
    <w:rsid w:val="00070ACB"/>
    <w:rsid w:val="000856D8"/>
    <w:rsid w:val="00094A97"/>
    <w:rsid w:val="00095A3B"/>
    <w:rsid w:val="000969F3"/>
    <w:rsid w:val="000A4C16"/>
    <w:rsid w:val="000B0A54"/>
    <w:rsid w:val="000B4CD3"/>
    <w:rsid w:val="000B5EEB"/>
    <w:rsid w:val="000C3B0A"/>
    <w:rsid w:val="000C4008"/>
    <w:rsid w:val="000C4672"/>
    <w:rsid w:val="000C4BF4"/>
    <w:rsid w:val="000C7011"/>
    <w:rsid w:val="000D6200"/>
    <w:rsid w:val="000D6805"/>
    <w:rsid w:val="000E0658"/>
    <w:rsid w:val="000E067E"/>
    <w:rsid w:val="000E2555"/>
    <w:rsid w:val="000E2B57"/>
    <w:rsid w:val="000E4077"/>
    <w:rsid w:val="000E4FAE"/>
    <w:rsid w:val="000F0FC9"/>
    <w:rsid w:val="000F4DE1"/>
    <w:rsid w:val="000F5E85"/>
    <w:rsid w:val="000F7F95"/>
    <w:rsid w:val="00101E8A"/>
    <w:rsid w:val="0010447D"/>
    <w:rsid w:val="00106B69"/>
    <w:rsid w:val="00112DCC"/>
    <w:rsid w:val="001150E2"/>
    <w:rsid w:val="0011719A"/>
    <w:rsid w:val="00123601"/>
    <w:rsid w:val="00127ABC"/>
    <w:rsid w:val="00131A91"/>
    <w:rsid w:val="00131E66"/>
    <w:rsid w:val="001332E1"/>
    <w:rsid w:val="001336B6"/>
    <w:rsid w:val="00133E8F"/>
    <w:rsid w:val="00135CAD"/>
    <w:rsid w:val="001377B7"/>
    <w:rsid w:val="00137951"/>
    <w:rsid w:val="00150075"/>
    <w:rsid w:val="00151611"/>
    <w:rsid w:val="00161989"/>
    <w:rsid w:val="0016221C"/>
    <w:rsid w:val="00162CF1"/>
    <w:rsid w:val="001679A5"/>
    <w:rsid w:val="00171E4A"/>
    <w:rsid w:val="00171E6F"/>
    <w:rsid w:val="00181F53"/>
    <w:rsid w:val="00186041"/>
    <w:rsid w:val="001A0E38"/>
    <w:rsid w:val="001A1346"/>
    <w:rsid w:val="001A20D4"/>
    <w:rsid w:val="001A2FAE"/>
    <w:rsid w:val="001B0C9C"/>
    <w:rsid w:val="001B150C"/>
    <w:rsid w:val="001B3E11"/>
    <w:rsid w:val="001B610E"/>
    <w:rsid w:val="001D2D74"/>
    <w:rsid w:val="001D598E"/>
    <w:rsid w:val="001E3C0E"/>
    <w:rsid w:val="001E5258"/>
    <w:rsid w:val="001E567A"/>
    <w:rsid w:val="001F6D82"/>
    <w:rsid w:val="002009F8"/>
    <w:rsid w:val="00202B8A"/>
    <w:rsid w:val="00204DF8"/>
    <w:rsid w:val="00206457"/>
    <w:rsid w:val="00211BF9"/>
    <w:rsid w:val="002140EE"/>
    <w:rsid w:val="0021609C"/>
    <w:rsid w:val="00217A0D"/>
    <w:rsid w:val="002248E1"/>
    <w:rsid w:val="002250BF"/>
    <w:rsid w:val="00227F8F"/>
    <w:rsid w:val="00230009"/>
    <w:rsid w:val="0023067F"/>
    <w:rsid w:val="0023239A"/>
    <w:rsid w:val="002328A3"/>
    <w:rsid w:val="00234E2A"/>
    <w:rsid w:val="00236F5D"/>
    <w:rsid w:val="00242703"/>
    <w:rsid w:val="00242A04"/>
    <w:rsid w:val="002437C8"/>
    <w:rsid w:val="002459A5"/>
    <w:rsid w:val="002513C2"/>
    <w:rsid w:val="00251B1C"/>
    <w:rsid w:val="0025413B"/>
    <w:rsid w:val="002552FE"/>
    <w:rsid w:val="0026085F"/>
    <w:rsid w:val="00263F3F"/>
    <w:rsid w:val="00267B0A"/>
    <w:rsid w:val="0027119F"/>
    <w:rsid w:val="002757A2"/>
    <w:rsid w:val="00276A92"/>
    <w:rsid w:val="00282FFE"/>
    <w:rsid w:val="00292645"/>
    <w:rsid w:val="0029494C"/>
    <w:rsid w:val="00294ED6"/>
    <w:rsid w:val="00296833"/>
    <w:rsid w:val="002A2BC6"/>
    <w:rsid w:val="002A418F"/>
    <w:rsid w:val="002A4475"/>
    <w:rsid w:val="002A685D"/>
    <w:rsid w:val="002B0CCB"/>
    <w:rsid w:val="002B11D6"/>
    <w:rsid w:val="002C23D7"/>
    <w:rsid w:val="002C32CF"/>
    <w:rsid w:val="002C37A9"/>
    <w:rsid w:val="002D18C6"/>
    <w:rsid w:val="002D6670"/>
    <w:rsid w:val="002E476A"/>
    <w:rsid w:val="002E586A"/>
    <w:rsid w:val="002F08F4"/>
    <w:rsid w:val="002F1857"/>
    <w:rsid w:val="002F4590"/>
    <w:rsid w:val="002F461F"/>
    <w:rsid w:val="002F7FBB"/>
    <w:rsid w:val="0031078C"/>
    <w:rsid w:val="003111DF"/>
    <w:rsid w:val="00312999"/>
    <w:rsid w:val="00321B21"/>
    <w:rsid w:val="0033286F"/>
    <w:rsid w:val="003344E8"/>
    <w:rsid w:val="00335EBF"/>
    <w:rsid w:val="00337F48"/>
    <w:rsid w:val="003403A1"/>
    <w:rsid w:val="00343665"/>
    <w:rsid w:val="00352D8E"/>
    <w:rsid w:val="00352DC1"/>
    <w:rsid w:val="003609A1"/>
    <w:rsid w:val="00362EB2"/>
    <w:rsid w:val="00364354"/>
    <w:rsid w:val="00370877"/>
    <w:rsid w:val="00372A19"/>
    <w:rsid w:val="00372D91"/>
    <w:rsid w:val="00373F05"/>
    <w:rsid w:val="003757CE"/>
    <w:rsid w:val="00377AB5"/>
    <w:rsid w:val="0038343B"/>
    <w:rsid w:val="0038795E"/>
    <w:rsid w:val="00395A38"/>
    <w:rsid w:val="003A1CA5"/>
    <w:rsid w:val="003A3E68"/>
    <w:rsid w:val="003A64C5"/>
    <w:rsid w:val="003A722E"/>
    <w:rsid w:val="003B07B6"/>
    <w:rsid w:val="003B33EA"/>
    <w:rsid w:val="003B694F"/>
    <w:rsid w:val="003B6FA5"/>
    <w:rsid w:val="003C04A8"/>
    <w:rsid w:val="003C0F6B"/>
    <w:rsid w:val="003C6B04"/>
    <w:rsid w:val="003D1A61"/>
    <w:rsid w:val="003E04B8"/>
    <w:rsid w:val="003E3150"/>
    <w:rsid w:val="003E5263"/>
    <w:rsid w:val="003E67B1"/>
    <w:rsid w:val="003F33D5"/>
    <w:rsid w:val="00403438"/>
    <w:rsid w:val="00412D90"/>
    <w:rsid w:val="00414877"/>
    <w:rsid w:val="00415011"/>
    <w:rsid w:val="004155B7"/>
    <w:rsid w:val="00415776"/>
    <w:rsid w:val="00417841"/>
    <w:rsid w:val="00417AB0"/>
    <w:rsid w:val="004250D1"/>
    <w:rsid w:val="0042795A"/>
    <w:rsid w:val="0043289C"/>
    <w:rsid w:val="00434537"/>
    <w:rsid w:val="00434BBE"/>
    <w:rsid w:val="00436B63"/>
    <w:rsid w:val="004438EF"/>
    <w:rsid w:val="004442BC"/>
    <w:rsid w:val="00454CF7"/>
    <w:rsid w:val="00456683"/>
    <w:rsid w:val="00465928"/>
    <w:rsid w:val="004708F6"/>
    <w:rsid w:val="00474A3A"/>
    <w:rsid w:val="00480879"/>
    <w:rsid w:val="00483A59"/>
    <w:rsid w:val="00485CA9"/>
    <w:rsid w:val="00487BAC"/>
    <w:rsid w:val="00492B87"/>
    <w:rsid w:val="00492E54"/>
    <w:rsid w:val="00493CB1"/>
    <w:rsid w:val="00495213"/>
    <w:rsid w:val="004A3A3A"/>
    <w:rsid w:val="004A6A57"/>
    <w:rsid w:val="004B039D"/>
    <w:rsid w:val="004B068F"/>
    <w:rsid w:val="004B5B1A"/>
    <w:rsid w:val="004C0657"/>
    <w:rsid w:val="004C0AB8"/>
    <w:rsid w:val="004C1327"/>
    <w:rsid w:val="004C471B"/>
    <w:rsid w:val="004D07EE"/>
    <w:rsid w:val="004D1C8B"/>
    <w:rsid w:val="004D36BF"/>
    <w:rsid w:val="004D4CEE"/>
    <w:rsid w:val="004D6E5C"/>
    <w:rsid w:val="004D7E7F"/>
    <w:rsid w:val="004E000A"/>
    <w:rsid w:val="004E39A5"/>
    <w:rsid w:val="004F42EC"/>
    <w:rsid w:val="005009D7"/>
    <w:rsid w:val="0050503A"/>
    <w:rsid w:val="0050686A"/>
    <w:rsid w:val="00514493"/>
    <w:rsid w:val="00537B0F"/>
    <w:rsid w:val="00540AE1"/>
    <w:rsid w:val="005418E6"/>
    <w:rsid w:val="0055143E"/>
    <w:rsid w:val="00560378"/>
    <w:rsid w:val="005619D8"/>
    <w:rsid w:val="00564519"/>
    <w:rsid w:val="00572CD4"/>
    <w:rsid w:val="00590FDE"/>
    <w:rsid w:val="005A2564"/>
    <w:rsid w:val="005A62FC"/>
    <w:rsid w:val="005B48F1"/>
    <w:rsid w:val="005B4AC2"/>
    <w:rsid w:val="005B5822"/>
    <w:rsid w:val="005C61A5"/>
    <w:rsid w:val="005D0335"/>
    <w:rsid w:val="005D052C"/>
    <w:rsid w:val="005D5362"/>
    <w:rsid w:val="005D5A9D"/>
    <w:rsid w:val="005E3461"/>
    <w:rsid w:val="005E6C47"/>
    <w:rsid w:val="005E792E"/>
    <w:rsid w:val="005F1869"/>
    <w:rsid w:val="005F700E"/>
    <w:rsid w:val="00603C9B"/>
    <w:rsid w:val="00612E42"/>
    <w:rsid w:val="00626005"/>
    <w:rsid w:val="0063020F"/>
    <w:rsid w:val="006320B2"/>
    <w:rsid w:val="006345DD"/>
    <w:rsid w:val="006362A8"/>
    <w:rsid w:val="0064429B"/>
    <w:rsid w:val="00651CDA"/>
    <w:rsid w:val="00651E42"/>
    <w:rsid w:val="006536A8"/>
    <w:rsid w:val="00663E24"/>
    <w:rsid w:val="00664F71"/>
    <w:rsid w:val="00666D06"/>
    <w:rsid w:val="00674DD8"/>
    <w:rsid w:val="006778F2"/>
    <w:rsid w:val="006819A8"/>
    <w:rsid w:val="00681CF5"/>
    <w:rsid w:val="006850FF"/>
    <w:rsid w:val="006860F9"/>
    <w:rsid w:val="0069015C"/>
    <w:rsid w:val="00691824"/>
    <w:rsid w:val="006945B9"/>
    <w:rsid w:val="006954C4"/>
    <w:rsid w:val="00695DE9"/>
    <w:rsid w:val="006A448B"/>
    <w:rsid w:val="006A5B86"/>
    <w:rsid w:val="006A6415"/>
    <w:rsid w:val="006A6882"/>
    <w:rsid w:val="006C2B93"/>
    <w:rsid w:val="006C3557"/>
    <w:rsid w:val="006C4A66"/>
    <w:rsid w:val="006C5D37"/>
    <w:rsid w:val="006E5367"/>
    <w:rsid w:val="006E6BDF"/>
    <w:rsid w:val="006F127E"/>
    <w:rsid w:val="006F1B0A"/>
    <w:rsid w:val="006F37D6"/>
    <w:rsid w:val="006F60B4"/>
    <w:rsid w:val="006F63D4"/>
    <w:rsid w:val="006F7BF8"/>
    <w:rsid w:val="0071131B"/>
    <w:rsid w:val="00712F13"/>
    <w:rsid w:val="0071340C"/>
    <w:rsid w:val="00713BE2"/>
    <w:rsid w:val="00720121"/>
    <w:rsid w:val="007209C5"/>
    <w:rsid w:val="00720D0C"/>
    <w:rsid w:val="0072166A"/>
    <w:rsid w:val="00732774"/>
    <w:rsid w:val="00735F05"/>
    <w:rsid w:val="00743B58"/>
    <w:rsid w:val="00744889"/>
    <w:rsid w:val="00744E6C"/>
    <w:rsid w:val="00747A6D"/>
    <w:rsid w:val="00750125"/>
    <w:rsid w:val="007515E0"/>
    <w:rsid w:val="007516D2"/>
    <w:rsid w:val="007565FA"/>
    <w:rsid w:val="00766751"/>
    <w:rsid w:val="007726D7"/>
    <w:rsid w:val="0077452C"/>
    <w:rsid w:val="0077686D"/>
    <w:rsid w:val="00777C2E"/>
    <w:rsid w:val="00782CC6"/>
    <w:rsid w:val="00783E74"/>
    <w:rsid w:val="00785BF9"/>
    <w:rsid w:val="00787079"/>
    <w:rsid w:val="007901DA"/>
    <w:rsid w:val="007913C1"/>
    <w:rsid w:val="007B4B15"/>
    <w:rsid w:val="007B7B60"/>
    <w:rsid w:val="007C661F"/>
    <w:rsid w:val="007C7DA2"/>
    <w:rsid w:val="007E3D7E"/>
    <w:rsid w:val="007E70C6"/>
    <w:rsid w:val="007F0263"/>
    <w:rsid w:val="007F4E9A"/>
    <w:rsid w:val="007F5125"/>
    <w:rsid w:val="00805670"/>
    <w:rsid w:val="0081630C"/>
    <w:rsid w:val="00822B6C"/>
    <w:rsid w:val="00823322"/>
    <w:rsid w:val="00824216"/>
    <w:rsid w:val="0082522B"/>
    <w:rsid w:val="00825243"/>
    <w:rsid w:val="0083151B"/>
    <w:rsid w:val="00832ABB"/>
    <w:rsid w:val="00832CE2"/>
    <w:rsid w:val="00842C5E"/>
    <w:rsid w:val="008438DB"/>
    <w:rsid w:val="00847580"/>
    <w:rsid w:val="00847E4D"/>
    <w:rsid w:val="0085394B"/>
    <w:rsid w:val="00853EF8"/>
    <w:rsid w:val="00863E1C"/>
    <w:rsid w:val="00871AF4"/>
    <w:rsid w:val="00874065"/>
    <w:rsid w:val="0088208A"/>
    <w:rsid w:val="00890246"/>
    <w:rsid w:val="008904FF"/>
    <w:rsid w:val="00893FCA"/>
    <w:rsid w:val="0089590B"/>
    <w:rsid w:val="00895A9D"/>
    <w:rsid w:val="008A0C87"/>
    <w:rsid w:val="008A4F0E"/>
    <w:rsid w:val="008B23FA"/>
    <w:rsid w:val="008B7307"/>
    <w:rsid w:val="008B7951"/>
    <w:rsid w:val="008B7A11"/>
    <w:rsid w:val="008B7A4C"/>
    <w:rsid w:val="008C53C5"/>
    <w:rsid w:val="008D2EF7"/>
    <w:rsid w:val="008E15FE"/>
    <w:rsid w:val="008F33F7"/>
    <w:rsid w:val="008F51E8"/>
    <w:rsid w:val="0091223A"/>
    <w:rsid w:val="00912CCA"/>
    <w:rsid w:val="00915BD3"/>
    <w:rsid w:val="00916A9F"/>
    <w:rsid w:val="009208AD"/>
    <w:rsid w:val="00920EDF"/>
    <w:rsid w:val="009274D8"/>
    <w:rsid w:val="0093118D"/>
    <w:rsid w:val="0093252A"/>
    <w:rsid w:val="009350FF"/>
    <w:rsid w:val="009412C0"/>
    <w:rsid w:val="0094228F"/>
    <w:rsid w:val="009505DB"/>
    <w:rsid w:val="00952170"/>
    <w:rsid w:val="00954981"/>
    <w:rsid w:val="0095519C"/>
    <w:rsid w:val="00960608"/>
    <w:rsid w:val="00971393"/>
    <w:rsid w:val="00977DEC"/>
    <w:rsid w:val="00982199"/>
    <w:rsid w:val="00994495"/>
    <w:rsid w:val="00997C20"/>
    <w:rsid w:val="009A3277"/>
    <w:rsid w:val="009B14F8"/>
    <w:rsid w:val="009C09EE"/>
    <w:rsid w:val="009C163B"/>
    <w:rsid w:val="009C2AC4"/>
    <w:rsid w:val="009D34FF"/>
    <w:rsid w:val="009E03A3"/>
    <w:rsid w:val="009E6B49"/>
    <w:rsid w:val="009F213A"/>
    <w:rsid w:val="009F2D78"/>
    <w:rsid w:val="009F2E15"/>
    <w:rsid w:val="009F34FD"/>
    <w:rsid w:val="009F4339"/>
    <w:rsid w:val="00A01B95"/>
    <w:rsid w:val="00A02A0D"/>
    <w:rsid w:val="00A0370F"/>
    <w:rsid w:val="00A04DDD"/>
    <w:rsid w:val="00A153A2"/>
    <w:rsid w:val="00A16F4E"/>
    <w:rsid w:val="00A24036"/>
    <w:rsid w:val="00A24967"/>
    <w:rsid w:val="00A26B47"/>
    <w:rsid w:val="00A30693"/>
    <w:rsid w:val="00A4073A"/>
    <w:rsid w:val="00A41BB9"/>
    <w:rsid w:val="00A431FE"/>
    <w:rsid w:val="00A43CF6"/>
    <w:rsid w:val="00A454BF"/>
    <w:rsid w:val="00A460A0"/>
    <w:rsid w:val="00A50377"/>
    <w:rsid w:val="00A52003"/>
    <w:rsid w:val="00A53412"/>
    <w:rsid w:val="00A550D1"/>
    <w:rsid w:val="00A57134"/>
    <w:rsid w:val="00A6352C"/>
    <w:rsid w:val="00A719BB"/>
    <w:rsid w:val="00A850A0"/>
    <w:rsid w:val="00A8527B"/>
    <w:rsid w:val="00A87845"/>
    <w:rsid w:val="00A87A1E"/>
    <w:rsid w:val="00A92FED"/>
    <w:rsid w:val="00A93D55"/>
    <w:rsid w:val="00A96635"/>
    <w:rsid w:val="00AA1DBD"/>
    <w:rsid w:val="00AA31E7"/>
    <w:rsid w:val="00AA3DB3"/>
    <w:rsid w:val="00AB2CE7"/>
    <w:rsid w:val="00AB2F85"/>
    <w:rsid w:val="00AB69D0"/>
    <w:rsid w:val="00AB7CE8"/>
    <w:rsid w:val="00AC6D88"/>
    <w:rsid w:val="00AD13AF"/>
    <w:rsid w:val="00AE4E42"/>
    <w:rsid w:val="00AE7E35"/>
    <w:rsid w:val="00AF1BFF"/>
    <w:rsid w:val="00AF73BC"/>
    <w:rsid w:val="00B03757"/>
    <w:rsid w:val="00B1199D"/>
    <w:rsid w:val="00B11A9B"/>
    <w:rsid w:val="00B21FB3"/>
    <w:rsid w:val="00B23FC5"/>
    <w:rsid w:val="00B250D4"/>
    <w:rsid w:val="00B329DF"/>
    <w:rsid w:val="00B34B1F"/>
    <w:rsid w:val="00B5234D"/>
    <w:rsid w:val="00B54E7E"/>
    <w:rsid w:val="00B64048"/>
    <w:rsid w:val="00B6640E"/>
    <w:rsid w:val="00B73A88"/>
    <w:rsid w:val="00B77C3F"/>
    <w:rsid w:val="00B85CA0"/>
    <w:rsid w:val="00B92343"/>
    <w:rsid w:val="00B9623F"/>
    <w:rsid w:val="00B9642E"/>
    <w:rsid w:val="00B97884"/>
    <w:rsid w:val="00BA4384"/>
    <w:rsid w:val="00BA4C97"/>
    <w:rsid w:val="00BA5A65"/>
    <w:rsid w:val="00BA5D4D"/>
    <w:rsid w:val="00BB0248"/>
    <w:rsid w:val="00BB21AC"/>
    <w:rsid w:val="00BB66F3"/>
    <w:rsid w:val="00BC2FE2"/>
    <w:rsid w:val="00BD3D82"/>
    <w:rsid w:val="00BD42FA"/>
    <w:rsid w:val="00BE0B9D"/>
    <w:rsid w:val="00BE3B16"/>
    <w:rsid w:val="00BE55C3"/>
    <w:rsid w:val="00BE5670"/>
    <w:rsid w:val="00BE78F0"/>
    <w:rsid w:val="00BF3A36"/>
    <w:rsid w:val="00C0297B"/>
    <w:rsid w:val="00C055D2"/>
    <w:rsid w:val="00C07773"/>
    <w:rsid w:val="00C078C0"/>
    <w:rsid w:val="00C10BCD"/>
    <w:rsid w:val="00C13F6B"/>
    <w:rsid w:val="00C140D9"/>
    <w:rsid w:val="00C1435F"/>
    <w:rsid w:val="00C16B46"/>
    <w:rsid w:val="00C20E4A"/>
    <w:rsid w:val="00C25971"/>
    <w:rsid w:val="00C35FE2"/>
    <w:rsid w:val="00C36512"/>
    <w:rsid w:val="00C43A1F"/>
    <w:rsid w:val="00C46736"/>
    <w:rsid w:val="00C50DF9"/>
    <w:rsid w:val="00C51FBB"/>
    <w:rsid w:val="00C548FA"/>
    <w:rsid w:val="00C54AD9"/>
    <w:rsid w:val="00C54F36"/>
    <w:rsid w:val="00C6182E"/>
    <w:rsid w:val="00C62CFC"/>
    <w:rsid w:val="00C6377D"/>
    <w:rsid w:val="00C639AC"/>
    <w:rsid w:val="00C64372"/>
    <w:rsid w:val="00C70CE4"/>
    <w:rsid w:val="00C80CCE"/>
    <w:rsid w:val="00C81F72"/>
    <w:rsid w:val="00C8689A"/>
    <w:rsid w:val="00C907DF"/>
    <w:rsid w:val="00C91D2F"/>
    <w:rsid w:val="00C938CF"/>
    <w:rsid w:val="00CA6223"/>
    <w:rsid w:val="00CA7FBA"/>
    <w:rsid w:val="00CB3B59"/>
    <w:rsid w:val="00CB3EE6"/>
    <w:rsid w:val="00CC28BF"/>
    <w:rsid w:val="00CC4102"/>
    <w:rsid w:val="00CC701C"/>
    <w:rsid w:val="00CD5F41"/>
    <w:rsid w:val="00CD73A7"/>
    <w:rsid w:val="00CE417C"/>
    <w:rsid w:val="00CF1753"/>
    <w:rsid w:val="00CF2065"/>
    <w:rsid w:val="00CF30AC"/>
    <w:rsid w:val="00CF507B"/>
    <w:rsid w:val="00CF706F"/>
    <w:rsid w:val="00D00F28"/>
    <w:rsid w:val="00D03EC8"/>
    <w:rsid w:val="00D0463B"/>
    <w:rsid w:val="00D06C51"/>
    <w:rsid w:val="00D11FEF"/>
    <w:rsid w:val="00D225BD"/>
    <w:rsid w:val="00D232DE"/>
    <w:rsid w:val="00D235F2"/>
    <w:rsid w:val="00D3006E"/>
    <w:rsid w:val="00D30B92"/>
    <w:rsid w:val="00D316C1"/>
    <w:rsid w:val="00D32C0D"/>
    <w:rsid w:val="00D4284C"/>
    <w:rsid w:val="00D43BF2"/>
    <w:rsid w:val="00D534AC"/>
    <w:rsid w:val="00D577A8"/>
    <w:rsid w:val="00D578CF"/>
    <w:rsid w:val="00D60330"/>
    <w:rsid w:val="00D61B4B"/>
    <w:rsid w:val="00D61EB5"/>
    <w:rsid w:val="00D65DC9"/>
    <w:rsid w:val="00D66407"/>
    <w:rsid w:val="00D6715E"/>
    <w:rsid w:val="00D67463"/>
    <w:rsid w:val="00D70FF8"/>
    <w:rsid w:val="00D71B8B"/>
    <w:rsid w:val="00D81684"/>
    <w:rsid w:val="00D82798"/>
    <w:rsid w:val="00D85064"/>
    <w:rsid w:val="00D855F5"/>
    <w:rsid w:val="00D907E1"/>
    <w:rsid w:val="00D9480D"/>
    <w:rsid w:val="00D95B85"/>
    <w:rsid w:val="00D9614F"/>
    <w:rsid w:val="00D971BC"/>
    <w:rsid w:val="00D975E9"/>
    <w:rsid w:val="00DA3611"/>
    <w:rsid w:val="00DA6C9B"/>
    <w:rsid w:val="00DB03CD"/>
    <w:rsid w:val="00DB0769"/>
    <w:rsid w:val="00DB6AE0"/>
    <w:rsid w:val="00DB715C"/>
    <w:rsid w:val="00DB7EFC"/>
    <w:rsid w:val="00DC3298"/>
    <w:rsid w:val="00DC3A19"/>
    <w:rsid w:val="00DC7543"/>
    <w:rsid w:val="00DC79CB"/>
    <w:rsid w:val="00DD200B"/>
    <w:rsid w:val="00DE02BB"/>
    <w:rsid w:val="00DE277D"/>
    <w:rsid w:val="00DE40E6"/>
    <w:rsid w:val="00DE4928"/>
    <w:rsid w:val="00DE5475"/>
    <w:rsid w:val="00DE5F8B"/>
    <w:rsid w:val="00DF72AE"/>
    <w:rsid w:val="00E00173"/>
    <w:rsid w:val="00E036E4"/>
    <w:rsid w:val="00E06794"/>
    <w:rsid w:val="00E125B2"/>
    <w:rsid w:val="00E12648"/>
    <w:rsid w:val="00E17A79"/>
    <w:rsid w:val="00E25DC6"/>
    <w:rsid w:val="00E26B46"/>
    <w:rsid w:val="00E32982"/>
    <w:rsid w:val="00E32FDD"/>
    <w:rsid w:val="00E35BE9"/>
    <w:rsid w:val="00E37129"/>
    <w:rsid w:val="00E47D1E"/>
    <w:rsid w:val="00E509D3"/>
    <w:rsid w:val="00E514D8"/>
    <w:rsid w:val="00E54E95"/>
    <w:rsid w:val="00E565EE"/>
    <w:rsid w:val="00E61BC5"/>
    <w:rsid w:val="00E706C0"/>
    <w:rsid w:val="00E75F4C"/>
    <w:rsid w:val="00E75FD7"/>
    <w:rsid w:val="00E7730C"/>
    <w:rsid w:val="00E80111"/>
    <w:rsid w:val="00E81E27"/>
    <w:rsid w:val="00E82256"/>
    <w:rsid w:val="00E8340C"/>
    <w:rsid w:val="00E853EF"/>
    <w:rsid w:val="00E912F2"/>
    <w:rsid w:val="00E91BB9"/>
    <w:rsid w:val="00E92E95"/>
    <w:rsid w:val="00E9522A"/>
    <w:rsid w:val="00E96606"/>
    <w:rsid w:val="00E968AA"/>
    <w:rsid w:val="00E96FC3"/>
    <w:rsid w:val="00EA24A9"/>
    <w:rsid w:val="00EA6876"/>
    <w:rsid w:val="00EA765B"/>
    <w:rsid w:val="00EB02BE"/>
    <w:rsid w:val="00EB03B5"/>
    <w:rsid w:val="00EB31CE"/>
    <w:rsid w:val="00EB5CF8"/>
    <w:rsid w:val="00EB7E36"/>
    <w:rsid w:val="00EC30E8"/>
    <w:rsid w:val="00EC3E48"/>
    <w:rsid w:val="00EC67B6"/>
    <w:rsid w:val="00EC6BCC"/>
    <w:rsid w:val="00ED231B"/>
    <w:rsid w:val="00ED30D6"/>
    <w:rsid w:val="00ED31AD"/>
    <w:rsid w:val="00ED3EBB"/>
    <w:rsid w:val="00ED4301"/>
    <w:rsid w:val="00EE12A1"/>
    <w:rsid w:val="00EF2870"/>
    <w:rsid w:val="00EF44E3"/>
    <w:rsid w:val="00EF7FC9"/>
    <w:rsid w:val="00F012D6"/>
    <w:rsid w:val="00F01A7E"/>
    <w:rsid w:val="00F05406"/>
    <w:rsid w:val="00F05665"/>
    <w:rsid w:val="00F0698B"/>
    <w:rsid w:val="00F149CB"/>
    <w:rsid w:val="00F22A22"/>
    <w:rsid w:val="00F24501"/>
    <w:rsid w:val="00F341B1"/>
    <w:rsid w:val="00F40B08"/>
    <w:rsid w:val="00F40F6E"/>
    <w:rsid w:val="00F42939"/>
    <w:rsid w:val="00F430C3"/>
    <w:rsid w:val="00F464A2"/>
    <w:rsid w:val="00F46BD7"/>
    <w:rsid w:val="00F4784A"/>
    <w:rsid w:val="00F5103A"/>
    <w:rsid w:val="00F579ED"/>
    <w:rsid w:val="00F72A7E"/>
    <w:rsid w:val="00F73A5F"/>
    <w:rsid w:val="00F74C3B"/>
    <w:rsid w:val="00F759CA"/>
    <w:rsid w:val="00F803B0"/>
    <w:rsid w:val="00F82E02"/>
    <w:rsid w:val="00F83339"/>
    <w:rsid w:val="00F87DD0"/>
    <w:rsid w:val="00F92750"/>
    <w:rsid w:val="00F932CA"/>
    <w:rsid w:val="00F942BD"/>
    <w:rsid w:val="00F96D4C"/>
    <w:rsid w:val="00F970CD"/>
    <w:rsid w:val="00FA066D"/>
    <w:rsid w:val="00FA0ADE"/>
    <w:rsid w:val="00FA0D6F"/>
    <w:rsid w:val="00FA31BC"/>
    <w:rsid w:val="00FA327C"/>
    <w:rsid w:val="00FA62E5"/>
    <w:rsid w:val="00FB0E81"/>
    <w:rsid w:val="00FB2385"/>
    <w:rsid w:val="00FC1F5F"/>
    <w:rsid w:val="00FC3028"/>
    <w:rsid w:val="00FD1DE1"/>
    <w:rsid w:val="00FD6B77"/>
    <w:rsid w:val="00FE0ED7"/>
    <w:rsid w:val="00FE0F07"/>
    <w:rsid w:val="00FE2F38"/>
    <w:rsid w:val="00FE3A8C"/>
    <w:rsid w:val="00FE55ED"/>
    <w:rsid w:val="00FF275F"/>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0956D2"/>
  <w15:docId w15:val="{431555F2-E88F-449A-928C-0ABC26FF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452C"/>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7452C"/>
    <w:pPr>
      <w:keepNext/>
      <w:spacing w:after="0" w:line="240" w:lineRule="auto"/>
      <w:outlineLvl w:val="1"/>
    </w:pPr>
    <w:rPr>
      <w:rFonts w:ascii="Times New Roman" w:eastAsia="Times New Roman" w:hAnsi="Times New Roman" w:cs="Times New Roman"/>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2E5"/>
  </w:style>
  <w:style w:type="paragraph" w:styleId="Footer">
    <w:name w:val="footer"/>
    <w:basedOn w:val="Normal"/>
    <w:link w:val="FooterChar"/>
    <w:uiPriority w:val="99"/>
    <w:unhideWhenUsed/>
    <w:rsid w:val="00FA6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2E5"/>
  </w:style>
  <w:style w:type="paragraph" w:styleId="BalloonText">
    <w:name w:val="Balloon Text"/>
    <w:basedOn w:val="Normal"/>
    <w:link w:val="BalloonTextChar"/>
    <w:uiPriority w:val="99"/>
    <w:semiHidden/>
    <w:unhideWhenUsed/>
    <w:rsid w:val="00EA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5B"/>
    <w:rPr>
      <w:rFonts w:ascii="Tahoma" w:hAnsi="Tahoma" w:cs="Tahoma"/>
      <w:sz w:val="16"/>
      <w:szCs w:val="16"/>
    </w:rPr>
  </w:style>
  <w:style w:type="table" w:styleId="TableGrid">
    <w:name w:val="Table Grid"/>
    <w:basedOn w:val="TableNormal"/>
    <w:uiPriority w:val="59"/>
    <w:rsid w:val="00EA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452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7452C"/>
    <w:rPr>
      <w:rFonts w:ascii="Times New Roman" w:eastAsia="Times New Roman" w:hAnsi="Times New Roman" w:cs="Times New Roman"/>
      <w:i/>
      <w:sz w:val="16"/>
      <w:szCs w:val="20"/>
    </w:rPr>
  </w:style>
  <w:style w:type="paragraph" w:styleId="ListParagraph">
    <w:name w:val="List Paragraph"/>
    <w:basedOn w:val="Normal"/>
    <w:uiPriority w:val="34"/>
    <w:qFormat/>
    <w:rsid w:val="00162CF1"/>
    <w:pPr>
      <w:ind w:left="720"/>
      <w:contextualSpacing/>
    </w:pPr>
  </w:style>
  <w:style w:type="character" w:styleId="CommentReference">
    <w:name w:val="annotation reference"/>
    <w:basedOn w:val="DefaultParagraphFont"/>
    <w:uiPriority w:val="99"/>
    <w:semiHidden/>
    <w:unhideWhenUsed/>
    <w:rsid w:val="00853EF8"/>
    <w:rPr>
      <w:sz w:val="16"/>
      <w:szCs w:val="16"/>
    </w:rPr>
  </w:style>
  <w:style w:type="paragraph" w:styleId="CommentText">
    <w:name w:val="annotation text"/>
    <w:basedOn w:val="Normal"/>
    <w:link w:val="CommentTextChar"/>
    <w:uiPriority w:val="99"/>
    <w:unhideWhenUsed/>
    <w:rsid w:val="00853EF8"/>
    <w:pPr>
      <w:spacing w:line="240" w:lineRule="auto"/>
    </w:pPr>
    <w:rPr>
      <w:sz w:val="20"/>
      <w:szCs w:val="20"/>
    </w:rPr>
  </w:style>
  <w:style w:type="character" w:customStyle="1" w:styleId="CommentTextChar">
    <w:name w:val="Comment Text Char"/>
    <w:basedOn w:val="DefaultParagraphFont"/>
    <w:link w:val="CommentText"/>
    <w:uiPriority w:val="99"/>
    <w:rsid w:val="00853EF8"/>
    <w:rPr>
      <w:sz w:val="20"/>
      <w:szCs w:val="20"/>
    </w:rPr>
  </w:style>
  <w:style w:type="paragraph" w:styleId="CommentSubject">
    <w:name w:val="annotation subject"/>
    <w:basedOn w:val="CommentText"/>
    <w:next w:val="CommentText"/>
    <w:link w:val="CommentSubjectChar"/>
    <w:uiPriority w:val="99"/>
    <w:semiHidden/>
    <w:unhideWhenUsed/>
    <w:rsid w:val="00853EF8"/>
    <w:rPr>
      <w:b/>
      <w:bCs/>
    </w:rPr>
  </w:style>
  <w:style w:type="character" w:customStyle="1" w:styleId="CommentSubjectChar">
    <w:name w:val="Comment Subject Char"/>
    <w:basedOn w:val="CommentTextChar"/>
    <w:link w:val="CommentSubject"/>
    <w:uiPriority w:val="99"/>
    <w:semiHidden/>
    <w:rsid w:val="00853EF8"/>
    <w:rPr>
      <w:b/>
      <w:bCs/>
      <w:sz w:val="20"/>
      <w:szCs w:val="20"/>
    </w:rPr>
  </w:style>
  <w:style w:type="paragraph" w:styleId="FootnoteText">
    <w:name w:val="footnote text"/>
    <w:basedOn w:val="Normal"/>
    <w:link w:val="FootnoteTextChar"/>
    <w:uiPriority w:val="99"/>
    <w:semiHidden/>
    <w:unhideWhenUsed/>
    <w:rsid w:val="00C02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97B"/>
    <w:rPr>
      <w:sz w:val="20"/>
      <w:szCs w:val="20"/>
    </w:rPr>
  </w:style>
  <w:style w:type="character" w:styleId="FootnoteReference">
    <w:name w:val="footnote reference"/>
    <w:basedOn w:val="DefaultParagraphFont"/>
    <w:uiPriority w:val="99"/>
    <w:semiHidden/>
    <w:unhideWhenUsed/>
    <w:rsid w:val="00C0297B"/>
    <w:rPr>
      <w:vertAlign w:val="superscript"/>
    </w:rPr>
  </w:style>
  <w:style w:type="paragraph" w:styleId="Revision">
    <w:name w:val="Revision"/>
    <w:hidden/>
    <w:uiPriority w:val="99"/>
    <w:semiHidden/>
    <w:rsid w:val="00EA6876"/>
    <w:pPr>
      <w:spacing w:after="0" w:line="240" w:lineRule="auto"/>
    </w:pPr>
  </w:style>
  <w:style w:type="character" w:styleId="Hyperlink">
    <w:name w:val="Hyperlink"/>
    <w:basedOn w:val="DefaultParagraphFont"/>
    <w:uiPriority w:val="99"/>
    <w:unhideWhenUsed/>
    <w:rsid w:val="00590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pb.edu/university-offices/compliance-and-accommodations/title-ix/inde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33B8919F2954CA83599EDC7CDC40B" ma:contentTypeVersion="9" ma:contentTypeDescription="Create a new document." ma:contentTypeScope="" ma:versionID="9e536e55ac65d216a0b056b4a0f98cc8">
  <xsd:schema xmlns:xsd="http://www.w3.org/2001/XMLSchema" xmlns:xs="http://www.w3.org/2001/XMLSchema" xmlns:p="http://schemas.microsoft.com/office/2006/metadata/properties" xmlns:ns3="2290e22f-7c6e-414f-8cfd-09bcffcf22db" targetNamespace="http://schemas.microsoft.com/office/2006/metadata/properties" ma:root="true" ma:fieldsID="4d4db5a1b3e0d8272479037532a1f14a" ns3:_="">
    <xsd:import namespace="2290e22f-7c6e-414f-8cfd-09bcffcf22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0e22f-7c6e-414f-8cfd-09bcffcf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C133-2273-4685-96B5-41854B486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0e22f-7c6e-414f-8cfd-09bcffcf2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2A2F5-CB0A-4ADC-B8AA-3945C46054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ACF53C-AE85-4A40-85EA-7291E22EB847}">
  <ds:schemaRefs>
    <ds:schemaRef ds:uri="http://schemas.microsoft.com/sharepoint/v3/contenttype/forms"/>
  </ds:schemaRefs>
</ds:datastoreItem>
</file>

<file path=customXml/itemProps4.xml><?xml version="1.0" encoding="utf-8"?>
<ds:datastoreItem xmlns:ds="http://schemas.openxmlformats.org/officeDocument/2006/customXml" ds:itemID="{ED38A190-C67F-416D-A1B5-C5719B76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Meloncon, Trisha</dc:creator>
  <cp:lastModifiedBy>Chermae Peel</cp:lastModifiedBy>
  <cp:revision>2</cp:revision>
  <cp:lastPrinted>2019-08-27T21:31:00Z</cp:lastPrinted>
  <dcterms:created xsi:type="dcterms:W3CDTF">2023-10-06T21:17:00Z</dcterms:created>
  <dcterms:modified xsi:type="dcterms:W3CDTF">2023-10-06T21:17:00Z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0x01010076F33B8919F2954CA83599EDC7CDC40B</vt:lpwstr>
  </property>
</Properties>
</file>